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 tạo đơn hàng</w:t>
      </w:r>
    </w:p>
    <w:p>
      <w:pPr>
        <w:jc w:val="center"/>
      </w:pPr>
      <w:r>
        <w:rPr>
          <w:i/>
          <w:sz w:val="20"/>
        </w:rPr>
        <w:t>Tài liệu seed data mẫu cho hệ thống đào tạo nội bộ</w:t>
      </w:r>
    </w:p>
    <w:p>
      <w:pPr>
        <w:pStyle w:val="Heading1"/>
      </w:pPr>
      <w:r>
        <w:t>1. Mục đích</w:t>
      </w:r>
    </w:p>
    <w:p>
      <w:r>
        <w:t>Chuẩn hóa việc tạo đơn hàng trong ERP để hạn chế thiếu trường bắt buộc, sai mã hàng hoặc sai đơn vị tính.</w:t>
      </w:r>
    </w:p>
    <w:p>
      <w:pPr>
        <w:pStyle w:val="Heading1"/>
      </w:pPr>
      <w:r>
        <w:t>2. Phạm vi</w:t>
      </w:r>
    </w:p>
    <w:p>
      <w:r>
        <w:t>Áp dụng cho nhân sự vận hành xử lý đơn hàng phát sinh từ kinh doanh hoặc chăm sóc khách hàng.</w:t>
      </w:r>
    </w:p>
    <w:p>
      <w:pPr>
        <w:pStyle w:val="Heading1"/>
      </w:pPr>
      <w:r>
        <w:t>3. Điều kiện trước khi thao tác</w:t>
      </w:r>
    </w:p>
    <w:p>
      <w:r>
        <w:t>Đã có mã khách hàng hợp lệ.</w:t>
      </w:r>
    </w:p>
    <w:p>
      <w:r>
        <w:t>Đã có danh mục hàng hóa chuẩn hóa.</w:t>
      </w:r>
    </w:p>
    <w:p>
      <w:r>
        <w:t>Đã xác nhận số lượng, đơn vị tính, kho xuất.</w:t>
      </w:r>
    </w:p>
    <w:p>
      <w:pPr>
        <w:pStyle w:val="Heading1"/>
      </w:pPr>
      <w:r>
        <w:t>4. Các bước thực hiện</w:t>
      </w:r>
    </w:p>
    <w:p>
      <w:r>
        <w:t>Đăng nhập ERP bằng tài khoản được phân quyền.</w:t>
      </w:r>
    </w:p>
    <w:p>
      <w:r>
        <w:t>Chọn phân hệ Sales Order hoặc Order Entry.</w:t>
      </w:r>
    </w:p>
    <w:p>
      <w:r>
        <w:t>Tạo mới đơn hàng và nhập đủ trường bắt buộc.</w:t>
      </w:r>
    </w:p>
    <w:p>
      <w:r>
        <w:t>Kiểm tra mã khách hàng, mã hàng, số lượng, thuế suất, điều kiện giao hàng.</w:t>
      </w:r>
    </w:p>
    <w:p>
      <w:r>
        <w:t>Lưu nháp, rà soát, sau đó gửi phê duyệt nếu cần.</w:t>
      </w:r>
    </w:p>
    <w:p>
      <w:pPr>
        <w:pStyle w:val="Heading1"/>
      </w:pPr>
      <w:r>
        <w:t>5. Lỗi thường gặp</w:t>
      </w:r>
    </w:p>
    <w:p>
      <w:r>
        <w:t>Sai mã khách hàng do nhập thủ công thay vì chọn từ master data.</w:t>
      </w:r>
    </w:p>
    <w:p>
      <w:r>
        <w:t>Sai đơn vị tính giữa sản phẩm và báo giá.</w:t>
      </w:r>
    </w:p>
    <w:p>
      <w:r>
        <w:t>Thiếu trường người phụ trách hoặc mã kho.</w:t>
      </w:r>
    </w:p>
    <w:p>
      <w:pPr>
        <w:pStyle w:val="Heading1"/>
      </w:pPr>
      <w:r>
        <w:t>6. Checklist hoàn tất</w:t>
      </w:r>
    </w:p>
    <w:p>
      <w:r>
        <w:t>Đơn có mã khách hàng đúng.</w:t>
      </w:r>
    </w:p>
    <w:p>
      <w:r>
        <w:t>Danh sách hàng hóa khớp với yêu cầu.</w:t>
      </w:r>
    </w:p>
    <w:p>
      <w:r>
        <w:t>Thuế và kho đúng.</w:t>
      </w:r>
    </w:p>
    <w:p>
      <w:r>
        <w:t>Đã đính kèm ghi chú hoặc file liên quan nếu quy trình yêu cầu.</w:t>
      </w:r>
    </w:p>
    <w:p>
      <w:pPr>
        <w:pStyle w:val="Heading1"/>
      </w:pPr>
      <w:r>
        <w:t>Metadata gợi ý để ingest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topic</w:t>
            </w:r>
          </w:p>
        </w:tc>
        <w:tc>
          <w:tcPr>
            <w:tcW w:type="dxa" w:w="4968"/>
          </w:tcPr>
          <w:p>
            <w:r>
              <w:t>ERP_SOP</w:t>
            </w:r>
          </w:p>
        </w:tc>
      </w:tr>
      <w:tr>
        <w:tc>
          <w:tcPr>
            <w:tcW w:type="dxa" w:w="4968"/>
          </w:tcPr>
          <w:p>
            <w:r>
              <w:t>content_type</w:t>
            </w:r>
          </w:p>
        </w:tc>
        <w:tc>
          <w:tcPr>
            <w:tcW w:type="dxa" w:w="4968"/>
          </w:tcPr>
          <w:p>
            <w:r>
              <w:t>sop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approved</w:t>
            </w:r>
          </w:p>
        </w:tc>
      </w:tr>
      <w:tr>
        <w:tc>
          <w:tcPr>
            <w:tcW w:type="dxa" w:w="4968"/>
          </w:tcPr>
          <w:p>
            <w:r>
              <w:t>can_use_for_generation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can_use_for_assessment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