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8D67DA" w:rsidP="00B637BC">
      <w:pPr>
        <w:pStyle w:val="article-info"/>
      </w:pPr>
      <w:r>
        <w:rPr>
          <w:i/>
        </w:rPr>
        <w:t>Applied Comparative Genomics</w:t>
      </w:r>
      <w:r w:rsidR="00050B51" w:rsidRPr="006C2C0F">
        <w:t xml:space="preserve">, </w:t>
      </w:r>
      <w:r>
        <w:t>2019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D63278" w:rsidP="00435193">
            <w:pPr>
              <w:pStyle w:val="Title"/>
            </w:pPr>
            <w:r>
              <w:t>Poly(A)-Tail Length Estimation</w:t>
            </w:r>
            <w:r w:rsidR="00BD2682">
              <w:t xml:space="preserve"> from long ONT sequencing</w:t>
            </w:r>
            <w:r>
              <w:t>: Motivation and Tool Comparison</w:t>
            </w:r>
          </w:p>
          <w:p w:rsidR="00CC64E3" w:rsidRPr="00F362A7" w:rsidRDefault="00D63278" w:rsidP="00513FFC">
            <w:pPr>
              <w:pStyle w:val="Author-Group"/>
            </w:pPr>
            <w:r>
              <w:t>Remy Schwab</w:t>
            </w:r>
            <w:r>
              <w:rPr>
                <w:vertAlign w:val="superscript"/>
              </w:rPr>
              <w:t>1</w:t>
            </w:r>
            <w:r w:rsidR="00DE202F">
              <w:rPr>
                <w:vertAlign w:val="superscript"/>
              </w:rPr>
              <w:t>,2</w:t>
            </w:r>
            <w:r w:rsidR="00CC64E3" w:rsidRPr="00F362A7">
              <w:t xml:space="preserve"> and </w:t>
            </w:r>
            <w:proofErr w:type="spellStart"/>
            <w:r>
              <w:t>Luchao</w:t>
            </w:r>
            <w:proofErr w:type="spellEnd"/>
            <w:r>
              <w:t xml:space="preserve"> Qi</w:t>
            </w:r>
            <w:r>
              <w:rPr>
                <w:vertAlign w:val="superscript"/>
              </w:rPr>
              <w:t>1</w:t>
            </w:r>
            <w:r w:rsidR="00DE202F">
              <w:rPr>
                <w:vertAlign w:val="superscript"/>
              </w:rPr>
              <w:t>,2</w:t>
            </w:r>
          </w:p>
          <w:p w:rsidR="00CC64E3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D63278">
              <w:t>Biomedical Engineering</w:t>
            </w:r>
            <w:r w:rsidRPr="00D65C51">
              <w:t xml:space="preserve">, </w:t>
            </w:r>
            <w:r w:rsidR="00D63278">
              <w:t>Johns Hopkins University Whiting School of Engineering</w:t>
            </w:r>
          </w:p>
          <w:p w:rsidR="00DE202F" w:rsidRPr="00DE202F" w:rsidRDefault="00DE202F" w:rsidP="00513FFC">
            <w:pPr>
              <w:pStyle w:val="Author-Affiliation"/>
            </w:pPr>
            <w:r>
              <w:rPr>
                <w:vertAlign w:val="superscript"/>
              </w:rPr>
              <w:t>2</w:t>
            </w:r>
            <w:r>
              <w:t xml:space="preserve">Team </w:t>
            </w:r>
            <w:proofErr w:type="spellStart"/>
            <w:r>
              <w:t>RemChao</w:t>
            </w:r>
            <w:proofErr w:type="spellEnd"/>
            <w:r w:rsidR="00F81EB5">
              <w:t>, Johns Hopkins University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3A4127" w:rsidRPr="008D67DA" w:rsidRDefault="00CD66E3" w:rsidP="00A5432A">
            <w:pPr>
              <w:pStyle w:val="Abstract-Text"/>
            </w:pPr>
            <w:r>
              <w:rPr>
                <w:b/>
                <w:bCs/>
              </w:rPr>
              <w:t xml:space="preserve">Polyadenylation is </w:t>
            </w:r>
            <w:r w:rsidR="00BD2682">
              <w:rPr>
                <w:b/>
                <w:bCs/>
              </w:rPr>
              <w:t xml:space="preserve">a </w:t>
            </w:r>
            <w:r w:rsidR="00F81EB5">
              <w:rPr>
                <w:b/>
                <w:bCs/>
              </w:rPr>
              <w:t>co</w:t>
            </w:r>
            <w:r w:rsidR="00BD2682">
              <w:rPr>
                <w:b/>
                <w:bCs/>
              </w:rPr>
              <w:t>-transcriptional process in</w:t>
            </w:r>
            <w:r>
              <w:rPr>
                <w:b/>
                <w:bCs/>
              </w:rPr>
              <w:t xml:space="preserve"> which an adenosine monophosphate molecule is added to the 3’ end of mRNA. These molecules, which consist solely of adenines, are known as Poly(A) tails and the</w:t>
            </w:r>
            <w:r w:rsidR="00D01874">
              <w:rPr>
                <w:b/>
                <w:bCs/>
              </w:rPr>
              <w:t xml:space="preserve">ir lengths </w:t>
            </w:r>
            <w:r w:rsidR="00BD2682">
              <w:rPr>
                <w:b/>
                <w:bCs/>
              </w:rPr>
              <w:t xml:space="preserve">(the number of bases that make up the molecule) </w:t>
            </w:r>
            <w:r w:rsidR="00D01874">
              <w:rPr>
                <w:b/>
                <w:bCs/>
              </w:rPr>
              <w:t>are</w:t>
            </w:r>
            <w:r>
              <w:rPr>
                <w:b/>
                <w:bCs/>
              </w:rPr>
              <w:t xml:space="preserve"> believe</w:t>
            </w:r>
            <w:r w:rsidR="00BD2682">
              <w:rPr>
                <w:b/>
                <w:bCs/>
              </w:rPr>
              <w:t xml:space="preserve">d to have some important biological implications. </w:t>
            </w:r>
            <w:r w:rsidR="00D01874">
              <w:rPr>
                <w:b/>
                <w:bCs/>
              </w:rPr>
              <w:t xml:space="preserve">Along with the advent of native RNA sequencing, two tools, </w:t>
            </w:r>
            <w:proofErr w:type="spellStart"/>
            <w:r w:rsidR="00D01874">
              <w:rPr>
                <w:b/>
                <w:bCs/>
              </w:rPr>
              <w:t>nanopolish</w:t>
            </w:r>
            <w:proofErr w:type="spellEnd"/>
            <w:r w:rsidR="00D01874">
              <w:rPr>
                <w:b/>
                <w:bCs/>
              </w:rPr>
              <w:t xml:space="preserve"> and </w:t>
            </w:r>
            <w:proofErr w:type="spellStart"/>
            <w:r w:rsidR="00D01874">
              <w:rPr>
                <w:b/>
                <w:bCs/>
              </w:rPr>
              <w:t>tailfindr</w:t>
            </w:r>
            <w:proofErr w:type="spellEnd"/>
            <w:r w:rsidR="00D01874">
              <w:rPr>
                <w:b/>
                <w:bCs/>
              </w:rPr>
              <w:t>, have proposed methods for estimating the lengths of Poly(A) tails using the Oxford Nanopore platform. Our project aims to compare these tools.</w:t>
            </w:r>
          </w:p>
        </w:tc>
      </w:tr>
    </w:tbl>
    <w:p w:rsidR="002C783E" w:rsidRDefault="002C783E">
      <w:pPr>
        <w:pStyle w:val="AbstractHead"/>
        <w:spacing w:line="14" w:lineRule="exact"/>
      </w:pPr>
    </w:p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8"/>
          <w:headerReference w:type="default" r:id="rId9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Default="00952599" w:rsidP="001A0125">
      <w:pPr>
        <w:pStyle w:val="Heading1"/>
      </w:pPr>
      <w:r w:rsidRPr="00F4766C">
        <w:t xml:space="preserve">Introduction </w:t>
      </w:r>
    </w:p>
    <w:p w:rsidR="001E02F1" w:rsidRDefault="00EC3B2A" w:rsidP="001E02F1">
      <w:pPr>
        <w:ind w:firstLine="357"/>
        <w:rPr>
          <w:sz w:val="16"/>
          <w:szCs w:val="16"/>
        </w:rPr>
      </w:pPr>
      <w:r>
        <w:rPr>
          <w:sz w:val="16"/>
          <w:szCs w:val="16"/>
        </w:rPr>
        <w:t>Poly(A) tails are necessary for translocation of mRNA to the cytoplasm and directly influence a transcript’s stability and translation</w:t>
      </w:r>
      <w:r w:rsidR="007A765F">
        <w:rPr>
          <w:sz w:val="16"/>
          <w:szCs w:val="16"/>
        </w:rPr>
        <w:t>.</w:t>
      </w:r>
      <w:r w:rsidR="00C43691">
        <w:rPr>
          <w:sz w:val="16"/>
          <w:szCs w:val="16"/>
        </w:rPr>
        <w:t xml:space="preserve"> </w:t>
      </w:r>
      <w:proofErr w:type="gramStart"/>
      <w:r w:rsidR="00C43691">
        <w:rPr>
          <w:sz w:val="16"/>
          <w:szCs w:val="16"/>
        </w:rPr>
        <w:t>So</w:t>
      </w:r>
      <w:proofErr w:type="gramEnd"/>
      <w:r w:rsidR="00C43691">
        <w:rPr>
          <w:sz w:val="16"/>
          <w:szCs w:val="16"/>
        </w:rPr>
        <w:t xml:space="preserve"> while the importance of poly(A) tails is somewhat understood, </w:t>
      </w:r>
      <w:r>
        <w:rPr>
          <w:sz w:val="16"/>
          <w:szCs w:val="16"/>
        </w:rPr>
        <w:t>what effect</w:t>
      </w:r>
      <w:r w:rsidR="00C43691">
        <w:rPr>
          <w:sz w:val="16"/>
          <w:szCs w:val="16"/>
        </w:rPr>
        <w:t xml:space="preserve"> the length of the poly(A)</w:t>
      </w:r>
      <w:r>
        <w:rPr>
          <w:sz w:val="16"/>
          <w:szCs w:val="16"/>
        </w:rPr>
        <w:t xml:space="preserve"> tail has is not.</w:t>
      </w:r>
      <w:r w:rsidR="00406EC5">
        <w:rPr>
          <w:sz w:val="16"/>
          <w:szCs w:val="16"/>
        </w:rPr>
        <w:t xml:space="preserve"> The initial poly(A) tail length after polyadenylation is reported to be about 250nt however this becomes dynamic after it has left the nucleus</w:t>
      </w:r>
      <w:r w:rsidR="001E02F1">
        <w:rPr>
          <w:sz w:val="16"/>
          <w:szCs w:val="16"/>
        </w:rPr>
        <w:t xml:space="preserve"> and the data so far is difficult to unify. For example, even though only a short poly(A) tail is needed to prevent degradation, hyper-adenylated transcripts degrade quickly in the nuclease. Additionally, there has been evidence showing that long tails during embryonic development are positively correlated with translational efficiency but in </w:t>
      </w:r>
      <w:r w:rsidR="001E02F1" w:rsidRPr="001E02F1">
        <w:rPr>
          <w:i/>
          <w:sz w:val="16"/>
          <w:szCs w:val="16"/>
        </w:rPr>
        <w:t xml:space="preserve">C. </w:t>
      </w:r>
      <w:proofErr w:type="spellStart"/>
      <w:proofErr w:type="gramStart"/>
      <w:r w:rsidR="001E02F1" w:rsidRPr="001E02F1">
        <w:rPr>
          <w:i/>
          <w:sz w:val="16"/>
          <w:szCs w:val="16"/>
        </w:rPr>
        <w:t>elegans</w:t>
      </w:r>
      <w:proofErr w:type="spellEnd"/>
      <w:r w:rsidR="001E02F1">
        <w:rPr>
          <w:sz w:val="16"/>
          <w:szCs w:val="16"/>
        </w:rPr>
        <w:t xml:space="preserve">  shorter</w:t>
      </w:r>
      <w:proofErr w:type="gramEnd"/>
      <w:r w:rsidR="001E02F1">
        <w:rPr>
          <w:sz w:val="16"/>
          <w:szCs w:val="16"/>
        </w:rPr>
        <w:t xml:space="preserve"> tails are shown to be more actively translated.</w:t>
      </w:r>
    </w:p>
    <w:p w:rsidR="001E02F1" w:rsidRDefault="0068626C" w:rsidP="001E02F1">
      <w:pPr>
        <w:ind w:firstLine="357"/>
        <w:rPr>
          <w:sz w:val="16"/>
          <w:szCs w:val="16"/>
        </w:rPr>
      </w:pPr>
      <w:r>
        <w:rPr>
          <w:sz w:val="16"/>
          <w:szCs w:val="16"/>
        </w:rPr>
        <w:t>Early a</w:t>
      </w:r>
      <w:r w:rsidR="001E02F1">
        <w:rPr>
          <w:sz w:val="16"/>
          <w:szCs w:val="16"/>
        </w:rPr>
        <w:t xml:space="preserve">ttempts to measure poly(A) tail length </w:t>
      </w:r>
      <w:r>
        <w:rPr>
          <w:sz w:val="16"/>
          <w:szCs w:val="16"/>
        </w:rPr>
        <w:t xml:space="preserve">were low-throughput and were transcript-specific. High throughput methods enabled transcriptome wide resolution but were severely limited by short read lengths and technical artifacts related to PCR. </w:t>
      </w:r>
    </w:p>
    <w:p w:rsidR="006F3A50" w:rsidRPr="001E02F1" w:rsidRDefault="006F3A50" w:rsidP="001E02F1">
      <w:pPr>
        <w:ind w:firstLine="357"/>
        <w:rPr>
          <w:sz w:val="16"/>
          <w:szCs w:val="16"/>
        </w:rPr>
      </w:pPr>
      <w:r>
        <w:rPr>
          <w:sz w:val="16"/>
          <w:szCs w:val="16"/>
        </w:rPr>
        <w:t xml:space="preserve">The Oxford Nanopore platform is able to sequence mRNA molecules. The </w:t>
      </w:r>
      <w:proofErr w:type="gramStart"/>
      <w:r>
        <w:rPr>
          <w:sz w:val="16"/>
          <w:szCs w:val="16"/>
        </w:rPr>
        <w:t>long read</w:t>
      </w:r>
      <w:proofErr w:type="gramEnd"/>
      <w:r>
        <w:rPr>
          <w:sz w:val="16"/>
          <w:szCs w:val="16"/>
        </w:rPr>
        <w:t xml:space="preserve"> lengths and library preparation protocol</w:t>
      </w:r>
      <w:r w:rsidR="001A76E0">
        <w:rPr>
          <w:sz w:val="16"/>
          <w:szCs w:val="16"/>
        </w:rPr>
        <w:t xml:space="preserve"> allow for sequencing of the full transcript. However, it is very difficult to sequence repetitive regions with Oxford Nanopore and so two tools have attempted to reconcile this.</w:t>
      </w:r>
    </w:p>
    <w:p w:rsidR="00D83B8A" w:rsidRDefault="004E13A5" w:rsidP="001A0125">
      <w:pPr>
        <w:pStyle w:val="Heading1"/>
      </w:pPr>
      <w:r w:rsidRPr="001A0125">
        <w:t>Methods</w:t>
      </w:r>
    </w:p>
    <w:p w:rsidR="00030023" w:rsidRDefault="001A76E0" w:rsidP="00B521F2">
      <w:pPr>
        <w:ind w:firstLine="357"/>
        <w:rPr>
          <w:sz w:val="16"/>
          <w:szCs w:val="16"/>
        </w:rPr>
      </w:pPr>
      <w:proofErr w:type="spellStart"/>
      <w:r>
        <w:rPr>
          <w:sz w:val="16"/>
          <w:szCs w:val="16"/>
        </w:rPr>
        <w:t>Nanopolish</w:t>
      </w:r>
      <w:proofErr w:type="spellEnd"/>
      <w:r>
        <w:rPr>
          <w:sz w:val="16"/>
          <w:szCs w:val="16"/>
        </w:rPr>
        <w:t xml:space="preserve"> is a</w:t>
      </w:r>
      <w:r w:rsidR="00B521F2">
        <w:rPr>
          <w:sz w:val="16"/>
          <w:szCs w:val="16"/>
        </w:rPr>
        <w:t xml:space="preserve"> suite of algorithms for analyzing Oxford Nanopore Sequencing data. It is used to “polish” de novo genome assemblies, detect base modifications (m6a, m5c), call variants, and also has a component, </w:t>
      </w:r>
      <w:proofErr w:type="spellStart"/>
      <w:r w:rsidR="00B521F2">
        <w:rPr>
          <w:sz w:val="16"/>
          <w:szCs w:val="16"/>
        </w:rPr>
        <w:t>nanopolish</w:t>
      </w:r>
      <w:proofErr w:type="spellEnd"/>
      <w:r w:rsidR="00B521F2">
        <w:rPr>
          <w:sz w:val="16"/>
          <w:szCs w:val="16"/>
        </w:rPr>
        <w:t xml:space="preserve"> </w:t>
      </w:r>
      <w:proofErr w:type="spellStart"/>
      <w:proofErr w:type="gramStart"/>
      <w:r w:rsidR="00B521F2">
        <w:rPr>
          <w:sz w:val="16"/>
          <w:szCs w:val="16"/>
        </w:rPr>
        <w:t>polya</w:t>
      </w:r>
      <w:proofErr w:type="spellEnd"/>
      <w:r w:rsidR="00B521F2">
        <w:rPr>
          <w:sz w:val="16"/>
          <w:szCs w:val="16"/>
        </w:rPr>
        <w:t>,  to</w:t>
      </w:r>
      <w:proofErr w:type="gramEnd"/>
      <w:r w:rsidR="00B521F2">
        <w:rPr>
          <w:sz w:val="16"/>
          <w:szCs w:val="16"/>
        </w:rPr>
        <w:t xml:space="preserve"> estimate poly(A) tail lengths.</w:t>
      </w:r>
    </w:p>
    <w:p w:rsidR="00B521F2" w:rsidRDefault="00B521F2" w:rsidP="00B521F2">
      <w:pPr>
        <w:ind w:firstLine="357"/>
        <w:rPr>
          <w:sz w:val="16"/>
          <w:szCs w:val="16"/>
        </w:rPr>
      </w:pPr>
      <w:r>
        <w:rPr>
          <w:sz w:val="16"/>
          <w:szCs w:val="16"/>
        </w:rPr>
        <w:t xml:space="preserve">This method combines a hidden </w:t>
      </w:r>
      <w:proofErr w:type="spellStart"/>
      <w:r>
        <w:rPr>
          <w:sz w:val="16"/>
          <w:szCs w:val="16"/>
        </w:rPr>
        <w:t>marko</w:t>
      </w:r>
      <w:r w:rsidR="001E1A9C">
        <w:rPr>
          <w:sz w:val="16"/>
          <w:szCs w:val="16"/>
        </w:rPr>
        <w:t>v</w:t>
      </w:r>
      <w:proofErr w:type="spellEnd"/>
      <w:r w:rsidR="001E1A9C">
        <w:rPr>
          <w:sz w:val="16"/>
          <w:szCs w:val="16"/>
        </w:rPr>
        <w:t xml:space="preserve"> model with an estimator of the translocation rate of the read through the pore. The foundation of the </w:t>
      </w:r>
      <w:r w:rsidR="001E1A9C">
        <w:rPr>
          <w:sz w:val="16"/>
          <w:szCs w:val="16"/>
        </w:rPr>
        <w:t>algorithm involves separating the raw “squiggle” into states which correspond to the states that make up the HMM. These states are denoted as follows:</w:t>
      </w:r>
    </w:p>
    <w:p w:rsidR="001E1A9C" w:rsidRDefault="001E1A9C" w:rsidP="001E1A9C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Start (S): an optional state appearing before the “leader”</w:t>
      </w:r>
    </w:p>
    <w:p w:rsidR="001E1A9C" w:rsidRDefault="001E1A9C" w:rsidP="001E1A9C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Leader (L): the sequencing adaptor, attached to, and sequenced prior to the RT splint adaptor</w:t>
      </w:r>
    </w:p>
    <w:p w:rsidR="001E1A9C" w:rsidRDefault="001E1A9C" w:rsidP="001E1A9C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Adaptor (A): RT splint adaptor which is directly attached to the poly(A) tail</w:t>
      </w:r>
    </w:p>
    <w:p w:rsidR="001E1A9C" w:rsidRDefault="001E1A9C" w:rsidP="001E1A9C">
      <w:pPr>
        <w:pStyle w:val="ListParagraph"/>
        <w:numPr>
          <w:ilvl w:val="0"/>
          <w:numId w:val="15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PolyA</w:t>
      </w:r>
      <w:proofErr w:type="spellEnd"/>
      <w:r>
        <w:rPr>
          <w:sz w:val="16"/>
          <w:szCs w:val="16"/>
        </w:rPr>
        <w:t xml:space="preserve"> (P): the polyadenylated region of the read</w:t>
      </w:r>
    </w:p>
    <w:p w:rsidR="001E1A9C" w:rsidRDefault="001E1A9C" w:rsidP="001E1A9C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Cliff (C): a state to model brief sequencing artifacts within the poly(A) region of the read</w:t>
      </w:r>
    </w:p>
    <w:p w:rsidR="001E1A9C" w:rsidRDefault="001E1A9C" w:rsidP="001E1A9C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Transcript (T): The coding sequence</w:t>
      </w:r>
    </w:p>
    <w:p w:rsidR="001E1A9C" w:rsidRDefault="001E1A9C" w:rsidP="001E1A9C">
      <w:pPr>
        <w:rPr>
          <w:sz w:val="16"/>
          <w:szCs w:val="16"/>
        </w:rPr>
      </w:pPr>
    </w:p>
    <w:p w:rsidR="001E1A9C" w:rsidRDefault="001E1A9C" w:rsidP="001E1A9C">
      <w:pPr>
        <w:rPr>
          <w:sz w:val="16"/>
          <w:szCs w:val="16"/>
        </w:rPr>
      </w:pPr>
      <w:r>
        <w:rPr>
          <w:sz w:val="16"/>
          <w:szCs w:val="16"/>
        </w:rPr>
        <w:t>Below is a breakdown into these states from an example squi</w:t>
      </w:r>
      <w:r w:rsidR="002864BE">
        <w:rPr>
          <w:sz w:val="16"/>
          <w:szCs w:val="16"/>
        </w:rPr>
        <w:t>ggle:</w:t>
      </w:r>
    </w:p>
    <w:p w:rsidR="002864BE" w:rsidRDefault="002864BE" w:rsidP="001E1A9C">
      <w:pPr>
        <w:rPr>
          <w:sz w:val="16"/>
          <w:szCs w:val="16"/>
        </w:rPr>
      </w:pPr>
    </w:p>
    <w:p w:rsidR="002864BE" w:rsidRDefault="002864BE" w:rsidP="001E1A9C">
      <w:pPr>
        <w:rPr>
          <w:sz w:val="16"/>
          <w:szCs w:val="16"/>
        </w:rPr>
      </w:pPr>
    </w:p>
    <w:p w:rsidR="002864BE" w:rsidRDefault="002864BE" w:rsidP="001E1A9C">
      <w:pPr>
        <w:rPr>
          <w:sz w:val="16"/>
          <w:szCs w:val="16"/>
        </w:rPr>
      </w:pPr>
    </w:p>
    <w:p w:rsidR="002864BE" w:rsidRDefault="002864BE" w:rsidP="001E1A9C">
      <w:pPr>
        <w:rPr>
          <w:sz w:val="16"/>
          <w:szCs w:val="16"/>
        </w:rPr>
      </w:pPr>
    </w:p>
    <w:p w:rsidR="002864BE" w:rsidRDefault="002864BE" w:rsidP="001E1A9C">
      <w:pPr>
        <w:rPr>
          <w:sz w:val="16"/>
          <w:szCs w:val="16"/>
        </w:rPr>
      </w:pPr>
    </w:p>
    <w:p w:rsidR="002864BE" w:rsidRDefault="002864BE" w:rsidP="001E1A9C">
      <w:pPr>
        <w:rPr>
          <w:sz w:val="16"/>
          <w:szCs w:val="16"/>
        </w:rPr>
      </w:pPr>
    </w:p>
    <w:p w:rsidR="002864BE" w:rsidRDefault="002864BE" w:rsidP="001E1A9C">
      <w:pPr>
        <w:rPr>
          <w:sz w:val="16"/>
          <w:szCs w:val="16"/>
        </w:rPr>
      </w:pPr>
    </w:p>
    <w:p w:rsidR="002864BE" w:rsidRDefault="002864BE" w:rsidP="001E1A9C">
      <w:pPr>
        <w:rPr>
          <w:sz w:val="16"/>
          <w:szCs w:val="16"/>
        </w:rPr>
      </w:pPr>
    </w:p>
    <w:p w:rsidR="002864BE" w:rsidRDefault="002864BE" w:rsidP="001E1A9C">
      <w:pPr>
        <w:rPr>
          <w:sz w:val="16"/>
          <w:szCs w:val="16"/>
        </w:rPr>
      </w:pPr>
    </w:p>
    <w:p w:rsidR="002864BE" w:rsidRDefault="002864BE" w:rsidP="001E1A9C">
      <w:pPr>
        <w:rPr>
          <w:sz w:val="16"/>
          <w:szCs w:val="16"/>
        </w:rPr>
      </w:pPr>
    </w:p>
    <w:p w:rsidR="002864BE" w:rsidRDefault="00C564A3" w:rsidP="001E1A9C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61963" cy="13525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14 at 5.53.44 P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5607" cy="14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BE" w:rsidRDefault="002864BE" w:rsidP="001E1A9C">
      <w:pPr>
        <w:rPr>
          <w:sz w:val="16"/>
          <w:szCs w:val="16"/>
        </w:rPr>
      </w:pPr>
      <w:r>
        <w:rPr>
          <w:sz w:val="16"/>
          <w:szCs w:val="16"/>
        </w:rPr>
        <w:t>Figure 1: Example Segmented Squiggle. Note the read is fed through the pore in the 3’-5’ direction so the last (purple) segment is the transcript. The poly(A) tail segment is shown in green.</w:t>
      </w:r>
    </w:p>
    <w:p w:rsidR="002864BE" w:rsidRDefault="002864BE" w:rsidP="001E1A9C">
      <w:pPr>
        <w:rPr>
          <w:sz w:val="16"/>
          <w:szCs w:val="16"/>
        </w:rPr>
      </w:pPr>
    </w:p>
    <w:p w:rsidR="00C564A3" w:rsidRDefault="00C564A3" w:rsidP="002864BE">
      <w:pPr>
        <w:rPr>
          <w:sz w:val="16"/>
          <w:szCs w:val="16"/>
        </w:rPr>
      </w:pPr>
    </w:p>
    <w:p w:rsidR="00C564A3" w:rsidRDefault="00C564A3" w:rsidP="002864BE">
      <w:pPr>
        <w:rPr>
          <w:sz w:val="16"/>
          <w:szCs w:val="16"/>
        </w:rPr>
      </w:pPr>
    </w:p>
    <w:p w:rsidR="00C564A3" w:rsidRDefault="00C564A3" w:rsidP="002864BE">
      <w:pPr>
        <w:rPr>
          <w:sz w:val="16"/>
          <w:szCs w:val="16"/>
        </w:rPr>
      </w:pPr>
    </w:p>
    <w:p w:rsidR="00C564A3" w:rsidRDefault="00C564A3" w:rsidP="002864BE">
      <w:pPr>
        <w:rPr>
          <w:sz w:val="16"/>
          <w:szCs w:val="16"/>
        </w:rPr>
      </w:pPr>
    </w:p>
    <w:p w:rsidR="00C564A3" w:rsidRDefault="00C564A3" w:rsidP="002864BE">
      <w:pPr>
        <w:rPr>
          <w:sz w:val="16"/>
          <w:szCs w:val="16"/>
        </w:rPr>
      </w:pPr>
    </w:p>
    <w:p w:rsidR="002864BE" w:rsidRDefault="002864BE" w:rsidP="00030023">
      <w:pPr>
        <w:rPr>
          <w:sz w:val="16"/>
          <w:szCs w:val="16"/>
        </w:rPr>
      </w:pPr>
      <w:r>
        <w:rPr>
          <w:sz w:val="16"/>
          <w:szCs w:val="16"/>
        </w:rPr>
        <w:t>And below is a figure showing an example of the HMM:</w:t>
      </w:r>
    </w:p>
    <w:p w:rsidR="00C564A3" w:rsidRDefault="00C564A3" w:rsidP="00030023">
      <w:pPr>
        <w:rPr>
          <w:sz w:val="16"/>
          <w:szCs w:val="16"/>
        </w:rPr>
      </w:pPr>
    </w:p>
    <w:p w:rsidR="00C564A3" w:rsidRDefault="00C564A3" w:rsidP="00030023">
      <w:pPr>
        <w:rPr>
          <w:sz w:val="16"/>
          <w:szCs w:val="16"/>
        </w:rPr>
      </w:pPr>
    </w:p>
    <w:p w:rsidR="00C564A3" w:rsidRDefault="00C564A3" w:rsidP="00030023">
      <w:pPr>
        <w:rPr>
          <w:sz w:val="16"/>
          <w:szCs w:val="16"/>
        </w:rPr>
      </w:pPr>
    </w:p>
    <w:p w:rsidR="00C564A3" w:rsidRDefault="00C564A3" w:rsidP="00030023">
      <w:pPr>
        <w:rPr>
          <w:sz w:val="16"/>
          <w:szCs w:val="16"/>
        </w:rPr>
      </w:pPr>
    </w:p>
    <w:p w:rsidR="00C564A3" w:rsidRDefault="00C564A3" w:rsidP="00030023">
      <w:pPr>
        <w:rPr>
          <w:sz w:val="16"/>
          <w:szCs w:val="16"/>
        </w:rPr>
      </w:pPr>
    </w:p>
    <w:p w:rsidR="00C564A3" w:rsidRDefault="00C564A3" w:rsidP="00030023">
      <w:pPr>
        <w:rPr>
          <w:sz w:val="16"/>
          <w:szCs w:val="16"/>
        </w:rPr>
      </w:pPr>
    </w:p>
    <w:p w:rsidR="00C564A3" w:rsidRDefault="00C564A3" w:rsidP="00030023">
      <w:pPr>
        <w:rPr>
          <w:sz w:val="16"/>
          <w:szCs w:val="16"/>
        </w:rPr>
      </w:pPr>
    </w:p>
    <w:p w:rsidR="00C564A3" w:rsidRDefault="00C564A3" w:rsidP="00030023">
      <w:pPr>
        <w:rPr>
          <w:sz w:val="16"/>
          <w:szCs w:val="16"/>
        </w:rPr>
      </w:pPr>
    </w:p>
    <w:p w:rsidR="00C564A3" w:rsidRDefault="002424F2" w:rsidP="00030023">
      <w:pPr>
        <w:rPr>
          <w:sz w:val="16"/>
          <w:szCs w:val="16"/>
        </w:rPr>
      </w:pPr>
      <w:r w:rsidRPr="00860383">
        <w:rPr>
          <w:noProof/>
        </w:rPr>
        <w:pict>
          <v:shape id="Picture 11" o:spid="_x0000_i1025" type="#_x0000_t75" alt="A close up of text on a white background&#10;&#10;Description automatically generated" style="width:17pt;height:11pt;flip:y;visibility:visible;mso-wrap-style:square;mso-width-percent:0;mso-height-percent:0;mso-width-percent:0;mso-height-percent:0">
            <v:imagedata r:id="rId11" o:title="A close up of text on a white background&#10;&#10;Description automatically generated"/>
          </v:shape>
        </w:pict>
      </w:r>
    </w:p>
    <w:p w:rsidR="00C564A3" w:rsidRDefault="00C564A3" w:rsidP="00030023">
      <w:pPr>
        <w:rPr>
          <w:sz w:val="16"/>
          <w:szCs w:val="16"/>
        </w:rPr>
      </w:pPr>
      <w:r>
        <w:rPr>
          <w:sz w:val="16"/>
          <w:szCs w:val="16"/>
        </w:rPr>
        <w:t>Figure 2:</w:t>
      </w:r>
    </w:p>
    <w:p w:rsidR="00C564A3" w:rsidRDefault="00C564A3" w:rsidP="00030023">
      <w:pPr>
        <w:rPr>
          <w:sz w:val="16"/>
          <w:szCs w:val="16"/>
        </w:rPr>
      </w:pPr>
    </w:p>
    <w:p w:rsidR="0030079A" w:rsidRDefault="0030079A" w:rsidP="00030023">
      <w:p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tailfindr</w:t>
      </w:r>
      <w:proofErr w:type="spellEnd"/>
      <w:r>
        <w:rPr>
          <w:sz w:val="16"/>
          <w:szCs w:val="16"/>
        </w:rPr>
        <w:t xml:space="preserve"> algorithm works as follows:</w:t>
      </w:r>
    </w:p>
    <w:p w:rsidR="0030079A" w:rsidRDefault="0030079A" w:rsidP="0030079A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Read fast5 file</w:t>
      </w:r>
    </w:p>
    <w:p w:rsidR="0030079A" w:rsidRDefault="0030079A" w:rsidP="0030079A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Z-normalize raw data</w:t>
      </w:r>
    </w:p>
    <w:p w:rsidR="0030079A" w:rsidRDefault="0030079A" w:rsidP="0030079A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 xml:space="preserve">Clip signal values exceeding 3 </w:t>
      </w:r>
      <w:proofErr w:type="spellStart"/>
      <w:r>
        <w:rPr>
          <w:sz w:val="16"/>
          <w:szCs w:val="16"/>
        </w:rPr>
        <w:t>sd</w:t>
      </w:r>
      <w:proofErr w:type="spellEnd"/>
    </w:p>
    <w:p w:rsidR="0030079A" w:rsidRDefault="0030079A" w:rsidP="0030079A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Smoothen by sliding window</w:t>
      </w:r>
    </w:p>
    <w:p w:rsidR="0030079A" w:rsidRDefault="0030079A" w:rsidP="0030079A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Define poly(A)-containing segment by thresholding smoothened signal by 0.3 (this defines the rough poly(A) boundaries</w:t>
      </w:r>
    </w:p>
    <w:p w:rsidR="0030079A" w:rsidRDefault="0030079A" w:rsidP="0030079A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Compute mean of every 25 samples of clipped signal within rough poly(A) boundaries</w:t>
      </w:r>
    </w:p>
    <w:p w:rsidR="0030079A" w:rsidRDefault="0030079A" w:rsidP="0030079A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Compute slope between every two consecutive points of mean signal</w:t>
      </w:r>
    </w:p>
    <w:p w:rsidR="0030079A" w:rsidRDefault="0030079A" w:rsidP="0030079A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Get precise poly(A) boundaries by shrinking rough poly(A) boundaries until slope signal is confined in +/- 0.3 range</w:t>
      </w:r>
    </w:p>
    <w:p w:rsidR="0030079A" w:rsidRDefault="0030079A" w:rsidP="0030079A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Normalize tail length by read specific translocation rate</w:t>
      </w: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  <w:r>
        <w:rPr>
          <w:sz w:val="16"/>
          <w:szCs w:val="16"/>
        </w:rPr>
        <w:t>This is shown in the below figure:</w:t>
      </w: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Default="0030079A" w:rsidP="0030079A">
      <w:pPr>
        <w:rPr>
          <w:sz w:val="16"/>
          <w:szCs w:val="16"/>
        </w:rPr>
      </w:pPr>
    </w:p>
    <w:p w:rsidR="0030079A" w:rsidRPr="0030079A" w:rsidRDefault="0030079A" w:rsidP="0030079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3548F76" wp14:editId="4E1074E3">
            <wp:extent cx="2985770" cy="1915795"/>
            <wp:effectExtent l="0" t="0" r="0" b="1905"/>
            <wp:docPr id="14" name="Picture 1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4-14 at 6.25.20 P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C564A3" w:rsidRDefault="0030079A" w:rsidP="00C564A3">
      <w:pPr>
        <w:rPr>
          <w:sz w:val="16"/>
          <w:szCs w:val="16"/>
        </w:rPr>
      </w:pPr>
      <w:r>
        <w:rPr>
          <w:sz w:val="16"/>
          <w:szCs w:val="16"/>
        </w:rPr>
        <w:t xml:space="preserve">The dataset we are trying to apply these tools to is the Oxford Nanopore poly(A) standards (linked </w:t>
      </w:r>
      <w:hyperlink r:id="rId13" w:history="1">
        <w:r w:rsidRPr="0030079A">
          <w:rPr>
            <w:rStyle w:val="Hyperlink"/>
            <w:sz w:val="16"/>
            <w:szCs w:val="16"/>
          </w:rPr>
          <w:t>h</w:t>
        </w:r>
        <w:r w:rsidRPr="0030079A">
          <w:rPr>
            <w:rStyle w:val="Hyperlink"/>
            <w:sz w:val="16"/>
            <w:szCs w:val="16"/>
          </w:rPr>
          <w:t>e</w:t>
        </w:r>
        <w:r w:rsidRPr="0030079A">
          <w:rPr>
            <w:rStyle w:val="Hyperlink"/>
            <w:sz w:val="16"/>
            <w:szCs w:val="16"/>
          </w:rPr>
          <w:t>re</w:t>
        </w:r>
      </w:hyperlink>
      <w:r>
        <w:rPr>
          <w:sz w:val="16"/>
          <w:szCs w:val="16"/>
        </w:rPr>
        <w:t>)</w:t>
      </w:r>
      <w:r w:rsidR="00266ED0">
        <w:rPr>
          <w:sz w:val="16"/>
          <w:szCs w:val="16"/>
        </w:rPr>
        <w:t xml:space="preserve">. However, despite the fact that these files are already available with </w:t>
      </w:r>
      <w:proofErr w:type="spellStart"/>
      <w:r w:rsidR="00266ED0">
        <w:rPr>
          <w:sz w:val="16"/>
          <w:szCs w:val="16"/>
        </w:rPr>
        <w:t>basecalls</w:t>
      </w:r>
      <w:proofErr w:type="spellEnd"/>
      <w:r w:rsidR="00266ED0">
        <w:rPr>
          <w:sz w:val="16"/>
          <w:szCs w:val="16"/>
        </w:rPr>
        <w:t xml:space="preserve">, they are not compatible with </w:t>
      </w:r>
      <w:proofErr w:type="spellStart"/>
      <w:r w:rsidR="00266ED0">
        <w:rPr>
          <w:sz w:val="16"/>
          <w:szCs w:val="16"/>
        </w:rPr>
        <w:t>tailfindr</w:t>
      </w:r>
      <w:proofErr w:type="spellEnd"/>
      <w:r w:rsidR="00266ED0">
        <w:rPr>
          <w:sz w:val="16"/>
          <w:szCs w:val="16"/>
        </w:rPr>
        <w:t xml:space="preserve"> because they require some metadata table. Additionally, </w:t>
      </w:r>
      <w:proofErr w:type="spellStart"/>
      <w:r w:rsidR="00266ED0">
        <w:rPr>
          <w:sz w:val="16"/>
          <w:szCs w:val="16"/>
        </w:rPr>
        <w:t>basecalling</w:t>
      </w:r>
      <w:proofErr w:type="spellEnd"/>
      <w:r w:rsidR="00266ED0">
        <w:rPr>
          <w:sz w:val="16"/>
          <w:szCs w:val="16"/>
        </w:rPr>
        <w:t xml:space="preserve"> is a very computationally heavy task and requires the proprietary software “albacore” or “guppy”.  I am currently looking into a potential software “hack” around this.</w:t>
      </w:r>
    </w:p>
    <w:p w:rsidR="00266ED0" w:rsidRDefault="00266ED0" w:rsidP="00C564A3">
      <w:pPr>
        <w:rPr>
          <w:sz w:val="16"/>
          <w:szCs w:val="16"/>
        </w:rPr>
      </w:pPr>
    </w:p>
    <w:p w:rsidR="00266ED0" w:rsidRDefault="00266ED0" w:rsidP="00C564A3">
      <w:pPr>
        <w:rPr>
          <w:sz w:val="16"/>
          <w:szCs w:val="16"/>
        </w:rPr>
      </w:pPr>
    </w:p>
    <w:p w:rsidR="00266ED0" w:rsidRDefault="00266ED0" w:rsidP="00266ED0">
      <w:pPr>
        <w:pStyle w:val="Heading1"/>
      </w:pPr>
      <w:r>
        <w:t>Discussion</w:t>
      </w:r>
    </w:p>
    <w:p w:rsidR="00266ED0" w:rsidRPr="00266ED0" w:rsidRDefault="00266ED0" w:rsidP="00266ED0">
      <w:pPr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sz w:val="16"/>
          <w:szCs w:val="16"/>
        </w:rPr>
        <w:t>Tailfindr</w:t>
      </w:r>
      <w:proofErr w:type="spellEnd"/>
      <w:r>
        <w:rPr>
          <w:rFonts w:ascii="Times New Roman" w:hAnsi="Times New Roman"/>
          <w:sz w:val="16"/>
          <w:szCs w:val="16"/>
        </w:rPr>
        <w:t xml:space="preserve"> did perform a comparison of its tool with </w:t>
      </w:r>
      <w:proofErr w:type="spellStart"/>
      <w:r>
        <w:rPr>
          <w:rFonts w:ascii="Times New Roman" w:hAnsi="Times New Roman"/>
          <w:sz w:val="16"/>
          <w:szCs w:val="16"/>
        </w:rPr>
        <w:t>nanopolish</w:t>
      </w:r>
      <w:proofErr w:type="spellEnd"/>
      <w:r w:rsidR="00D17805">
        <w:rPr>
          <w:rFonts w:ascii="Times New Roman" w:hAnsi="Times New Roman"/>
          <w:sz w:val="16"/>
          <w:szCs w:val="16"/>
        </w:rPr>
        <w:t xml:space="preserve">. It reported the accuracies as comparable. Probably the biggest difference between these tools is that </w:t>
      </w:r>
      <w:proofErr w:type="spellStart"/>
      <w:r w:rsidR="00D17805">
        <w:rPr>
          <w:rFonts w:ascii="Times New Roman" w:hAnsi="Times New Roman"/>
          <w:sz w:val="16"/>
          <w:szCs w:val="16"/>
        </w:rPr>
        <w:t>nanopolish</w:t>
      </w:r>
      <w:proofErr w:type="spellEnd"/>
      <w:r w:rsidR="00D17805">
        <w:rPr>
          <w:rFonts w:ascii="Times New Roman" w:hAnsi="Times New Roman"/>
          <w:sz w:val="16"/>
          <w:szCs w:val="16"/>
        </w:rPr>
        <w:t xml:space="preserve"> does require alignment in order to estimate the tail lengths and </w:t>
      </w:r>
      <w:proofErr w:type="spellStart"/>
      <w:r w:rsidR="00D17805">
        <w:rPr>
          <w:rFonts w:ascii="Times New Roman" w:hAnsi="Times New Roman"/>
          <w:sz w:val="16"/>
          <w:szCs w:val="16"/>
        </w:rPr>
        <w:t>tailfindr</w:t>
      </w:r>
      <w:proofErr w:type="spellEnd"/>
      <w:r w:rsidR="00D17805">
        <w:rPr>
          <w:rFonts w:ascii="Times New Roman" w:hAnsi="Times New Roman"/>
          <w:sz w:val="16"/>
          <w:szCs w:val="16"/>
        </w:rPr>
        <w:t xml:space="preserve"> does not. </w:t>
      </w:r>
      <w:proofErr w:type="spellStart"/>
      <w:r w:rsidR="00D17805">
        <w:rPr>
          <w:rFonts w:ascii="Times New Roman" w:hAnsi="Times New Roman"/>
          <w:sz w:val="16"/>
          <w:szCs w:val="16"/>
        </w:rPr>
        <w:t>Nanopolish</w:t>
      </w:r>
      <w:proofErr w:type="spellEnd"/>
      <w:r w:rsidR="00D17805">
        <w:rPr>
          <w:rFonts w:ascii="Times New Roman" w:hAnsi="Times New Roman"/>
          <w:sz w:val="16"/>
          <w:szCs w:val="16"/>
        </w:rPr>
        <w:t xml:space="preserve"> is also pretty difficult to install.</w:t>
      </w:r>
      <w:bookmarkStart w:id="0" w:name="_GoBack"/>
      <w:bookmarkEnd w:id="0"/>
    </w:p>
    <w:p w:rsidR="00266ED0" w:rsidRPr="00266ED0" w:rsidRDefault="00266ED0" w:rsidP="00266ED0">
      <w:pPr>
        <w:rPr>
          <w:rFonts w:ascii="Times New Roman" w:hAnsi="Times New Roman"/>
          <w:sz w:val="16"/>
          <w:szCs w:val="16"/>
        </w:rPr>
      </w:pPr>
    </w:p>
    <w:p w:rsidR="00266ED0" w:rsidRPr="00C564A3" w:rsidRDefault="00266ED0" w:rsidP="00C564A3">
      <w:pPr>
        <w:rPr>
          <w:sz w:val="16"/>
          <w:szCs w:val="16"/>
        </w:rPr>
      </w:pPr>
    </w:p>
    <w:p w:rsidR="00D83B8A" w:rsidRPr="00366351" w:rsidRDefault="00D83B8A" w:rsidP="00266ED0">
      <w:pPr>
        <w:pStyle w:val="ParaNoInd"/>
        <w:rPr>
          <w:sz w:val="16"/>
          <w:szCs w:val="16"/>
        </w:rPr>
      </w:pPr>
    </w:p>
    <w:p w:rsidR="001A5509" w:rsidRDefault="00643190" w:rsidP="001A0125">
      <w:pPr>
        <w:pStyle w:val="AckHead"/>
      </w:pPr>
      <w:r>
        <w:t>A</w:t>
      </w:r>
      <w:r w:rsidR="001A5509">
        <w:t>cknowledgements</w:t>
      </w:r>
    </w:p>
    <w:p w:rsidR="00D83B8A" w:rsidRPr="00366351" w:rsidRDefault="00D75FB0">
      <w:pPr>
        <w:pStyle w:val="AckText"/>
        <w:rPr>
          <w:sz w:val="14"/>
          <w:szCs w:val="14"/>
        </w:rPr>
      </w:pPr>
      <w:r>
        <w:rPr>
          <w:sz w:val="14"/>
          <w:szCs w:val="14"/>
        </w:rPr>
        <w:t xml:space="preserve">Thank you to </w:t>
      </w:r>
      <w:proofErr w:type="spellStart"/>
      <w:r>
        <w:rPr>
          <w:sz w:val="14"/>
          <w:szCs w:val="14"/>
        </w:rPr>
        <w:t>Roham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Razaghi</w:t>
      </w:r>
      <w:proofErr w:type="spellEnd"/>
      <w:r>
        <w:rPr>
          <w:sz w:val="14"/>
          <w:szCs w:val="14"/>
        </w:rPr>
        <w:t xml:space="preserve"> from the </w:t>
      </w:r>
      <w:proofErr w:type="spellStart"/>
      <w:r>
        <w:rPr>
          <w:sz w:val="14"/>
          <w:szCs w:val="14"/>
        </w:rPr>
        <w:t>Timp</w:t>
      </w:r>
      <w:proofErr w:type="spellEnd"/>
      <w:r>
        <w:rPr>
          <w:sz w:val="14"/>
          <w:szCs w:val="14"/>
        </w:rPr>
        <w:t xml:space="preserve"> lab!</w:t>
      </w:r>
    </w:p>
    <w:p w:rsidR="00D83B8A" w:rsidRPr="00366351" w:rsidRDefault="00366351" w:rsidP="001A0125">
      <w:pPr>
        <w:pStyle w:val="RefHead"/>
      </w:pPr>
      <w:r w:rsidRPr="00366351">
        <w:t>References</w:t>
      </w:r>
    </w:p>
    <w:p w:rsidR="00F81EB5" w:rsidRDefault="00F81EB5" w:rsidP="00F81EB5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303030"/>
          <w:sz w:val="14"/>
          <w:szCs w:val="14"/>
          <w:shd w:val="clear" w:color="auto" w:fill="FFFFFF"/>
        </w:rPr>
      </w:pPr>
      <w:proofErr w:type="spellStart"/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>Jalkanen</w:t>
      </w:r>
      <w:proofErr w:type="spellEnd"/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 xml:space="preserve"> AL, Coleman SJ, </w:t>
      </w:r>
      <w:proofErr w:type="spellStart"/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>Wilusz</w:t>
      </w:r>
      <w:proofErr w:type="spellEnd"/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 xml:space="preserve"> J. Determinants and implications of mRNA poly(A) tail size--does this protein make my tail look </w:t>
      </w:r>
      <w:proofErr w:type="gramStart"/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>big?.</w:t>
      </w:r>
      <w:proofErr w:type="gramEnd"/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> </w:t>
      </w:r>
      <w:proofErr w:type="spellStart"/>
      <w:r w:rsidRPr="00F81EB5">
        <w:rPr>
          <w:rFonts w:ascii="Arial" w:hAnsi="Arial" w:cs="Arial"/>
          <w:i/>
          <w:iCs/>
          <w:color w:val="303030"/>
          <w:sz w:val="14"/>
          <w:szCs w:val="14"/>
          <w:shd w:val="clear" w:color="auto" w:fill="FFFFFF"/>
        </w:rPr>
        <w:t>Semin</w:t>
      </w:r>
      <w:proofErr w:type="spellEnd"/>
      <w:r w:rsidRPr="00F81EB5">
        <w:rPr>
          <w:rFonts w:ascii="Arial" w:hAnsi="Arial" w:cs="Arial"/>
          <w:i/>
          <w:iCs/>
          <w:color w:val="303030"/>
          <w:sz w:val="14"/>
          <w:szCs w:val="14"/>
          <w:shd w:val="clear" w:color="auto" w:fill="FFFFFF"/>
        </w:rPr>
        <w:t xml:space="preserve"> Cell Dev Biol</w:t>
      </w:r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 xml:space="preserve">. </w:t>
      </w:r>
      <w:proofErr w:type="gramStart"/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>2014;34:24</w:t>
      </w:r>
      <w:proofErr w:type="gramEnd"/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 xml:space="preserve">–32. </w:t>
      </w:r>
      <w:proofErr w:type="gramStart"/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>doi:10.1016/j.semcdb</w:t>
      </w:r>
      <w:proofErr w:type="gramEnd"/>
      <w:r w:rsidRPr="00F81EB5">
        <w:rPr>
          <w:rFonts w:ascii="Arial" w:hAnsi="Arial" w:cs="Arial"/>
          <w:color w:val="303030"/>
          <w:sz w:val="14"/>
          <w:szCs w:val="14"/>
          <w:shd w:val="clear" w:color="auto" w:fill="FFFFFF"/>
        </w:rPr>
        <w:t>.2014.05.018</w:t>
      </w:r>
    </w:p>
    <w:p w:rsidR="00F81EB5" w:rsidRDefault="00030023" w:rsidP="00F81EB5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303030"/>
          <w:sz w:val="14"/>
          <w:szCs w:val="14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4"/>
          <w:szCs w:val="14"/>
          <w:shd w:val="clear" w:color="auto" w:fill="FFFFFF"/>
        </w:rPr>
        <w:t>Tailfindr</w:t>
      </w:r>
      <w:proofErr w:type="spellEnd"/>
    </w:p>
    <w:p w:rsidR="00030023" w:rsidRDefault="00030023" w:rsidP="00F81EB5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303030"/>
          <w:sz w:val="14"/>
          <w:szCs w:val="14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4"/>
          <w:szCs w:val="14"/>
          <w:shd w:val="clear" w:color="auto" w:fill="FFFFFF"/>
        </w:rPr>
        <w:t>Nanopolish</w:t>
      </w:r>
      <w:proofErr w:type="spellEnd"/>
    </w:p>
    <w:p w:rsidR="00030023" w:rsidRDefault="00030023" w:rsidP="00F81EB5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30303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303030"/>
          <w:sz w:val="14"/>
          <w:szCs w:val="14"/>
          <w:shd w:val="clear" w:color="auto" w:fill="FFFFFF"/>
        </w:rPr>
        <w:t>ONT standards dataset</w:t>
      </w:r>
    </w:p>
    <w:p w:rsidR="00030023" w:rsidRPr="00F81EB5" w:rsidRDefault="00030023" w:rsidP="00F81EB5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30303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303030"/>
          <w:sz w:val="14"/>
          <w:szCs w:val="14"/>
          <w:shd w:val="clear" w:color="auto" w:fill="FFFFFF"/>
        </w:rPr>
        <w:t xml:space="preserve">Direct RNA </w:t>
      </w:r>
      <w:proofErr w:type="spellStart"/>
      <w:r>
        <w:rPr>
          <w:rFonts w:ascii="Arial" w:hAnsi="Arial" w:cs="Arial"/>
          <w:color w:val="303030"/>
          <w:sz w:val="14"/>
          <w:szCs w:val="14"/>
          <w:shd w:val="clear" w:color="auto" w:fill="FFFFFF"/>
        </w:rPr>
        <w:t>Seq</w:t>
      </w:r>
      <w:proofErr w:type="spellEnd"/>
    </w:p>
    <w:p w:rsidR="00F81EB5" w:rsidRPr="00F81EB5" w:rsidRDefault="00F81EB5" w:rsidP="00F81EB5">
      <w:pPr>
        <w:spacing w:line="240" w:lineRule="auto"/>
        <w:rPr>
          <w:rFonts w:ascii="Times New Roman" w:hAnsi="Times New Roman"/>
          <w:sz w:val="14"/>
          <w:szCs w:val="14"/>
        </w:rPr>
      </w:pPr>
    </w:p>
    <w:p w:rsidR="00B7282B" w:rsidRDefault="00B7282B" w:rsidP="004D7F41">
      <w:pPr>
        <w:pStyle w:val="RefText"/>
      </w:pPr>
    </w:p>
    <w:sectPr w:rsidR="00B7282B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4F2" w:rsidRDefault="002424F2">
      <w:r>
        <w:separator/>
      </w:r>
    </w:p>
  </w:endnote>
  <w:endnote w:type="continuationSeparator" w:id="0">
    <w:p w:rsidR="002424F2" w:rsidRDefault="00242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4F2" w:rsidRDefault="002424F2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2424F2" w:rsidRDefault="002424F2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2424F2" w:rsidRDefault="002424F2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0536DD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5CD58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" o:allowoverlap="f" strokeweight=".5pt">
              <o:lock v:ext="edit" shapetype="f"/>
              <w10:wrap anchory="page"/>
              <w10:anchorlock/>
            </v:line>
          </w:pict>
        </mc:Fallback>
      </mc:AlternateContent>
    </w:r>
    <w:proofErr w:type="spellStart"/>
    <w:proofErr w:type="gramStart"/>
    <w:r w:rsidR="00DD38F7">
      <w:t>K.Takahashi</w:t>
    </w:r>
    <w:proofErr w:type="spellEnd"/>
    <w:proofErr w:type="gramEnd"/>
    <w:r w:rsidR="00DD38F7">
      <w:t xml:space="preserve"> et al.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A close up of text on a white background&#10;&#10;Description automatically generated" style="width:701pt;height:452pt;flip:y;visibility:visible;mso-wrap-style:square" o:bullet="t">
        <v:imagedata r:id="rId1" o:title="A close up of text on a white background&#10;&#10;Description automatically generated"/>
      </v:shape>
    </w:pict>
  </w:numPicBullet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656B"/>
    <w:multiLevelType w:val="hybridMultilevel"/>
    <w:tmpl w:val="097E6096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9742165"/>
    <w:multiLevelType w:val="hybridMultilevel"/>
    <w:tmpl w:val="97A8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69121DCC"/>
    <w:multiLevelType w:val="hybridMultilevel"/>
    <w:tmpl w:val="52C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13"/>
  </w:num>
  <w:num w:numId="9">
    <w:abstractNumId w:val="6"/>
  </w:num>
  <w:num w:numId="10">
    <w:abstractNumId w:val="11"/>
  </w:num>
  <w:num w:numId="11">
    <w:abstractNumId w:val="12"/>
  </w:num>
  <w:num w:numId="12">
    <w:abstractNumId w:val="2"/>
  </w:num>
  <w:num w:numId="13">
    <w:abstractNumId w:val="0"/>
  </w:num>
  <w:num w:numId="14">
    <w:abstractNumId w:val="9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78"/>
    <w:rsid w:val="0001213C"/>
    <w:rsid w:val="00030023"/>
    <w:rsid w:val="00050B51"/>
    <w:rsid w:val="000536DD"/>
    <w:rsid w:val="00063765"/>
    <w:rsid w:val="00083970"/>
    <w:rsid w:val="000E7919"/>
    <w:rsid w:val="00112539"/>
    <w:rsid w:val="00120FBC"/>
    <w:rsid w:val="00163472"/>
    <w:rsid w:val="00164CC5"/>
    <w:rsid w:val="00175E68"/>
    <w:rsid w:val="0019362B"/>
    <w:rsid w:val="001976C9"/>
    <w:rsid w:val="001A0125"/>
    <w:rsid w:val="001A5509"/>
    <w:rsid w:val="001A76E0"/>
    <w:rsid w:val="001C6AEE"/>
    <w:rsid w:val="001E02F1"/>
    <w:rsid w:val="001E1A9C"/>
    <w:rsid w:val="002000FF"/>
    <w:rsid w:val="002424F2"/>
    <w:rsid w:val="00266ED0"/>
    <w:rsid w:val="00274D6E"/>
    <w:rsid w:val="0028467B"/>
    <w:rsid w:val="002864BE"/>
    <w:rsid w:val="002A2089"/>
    <w:rsid w:val="002A7209"/>
    <w:rsid w:val="002B75A3"/>
    <w:rsid w:val="002B75B0"/>
    <w:rsid w:val="002C783E"/>
    <w:rsid w:val="002D3B6B"/>
    <w:rsid w:val="002D5837"/>
    <w:rsid w:val="002D7AA3"/>
    <w:rsid w:val="002F4CA8"/>
    <w:rsid w:val="0030079A"/>
    <w:rsid w:val="00312406"/>
    <w:rsid w:val="00341B9C"/>
    <w:rsid w:val="0034204F"/>
    <w:rsid w:val="00352804"/>
    <w:rsid w:val="00366351"/>
    <w:rsid w:val="00386DA0"/>
    <w:rsid w:val="003A4127"/>
    <w:rsid w:val="003A4458"/>
    <w:rsid w:val="003B3D09"/>
    <w:rsid w:val="003F0E1C"/>
    <w:rsid w:val="00400C63"/>
    <w:rsid w:val="00403998"/>
    <w:rsid w:val="00405022"/>
    <w:rsid w:val="00406EC5"/>
    <w:rsid w:val="00417E33"/>
    <w:rsid w:val="00435193"/>
    <w:rsid w:val="00452614"/>
    <w:rsid w:val="00454567"/>
    <w:rsid w:val="00473EDA"/>
    <w:rsid w:val="004768E7"/>
    <w:rsid w:val="00486E58"/>
    <w:rsid w:val="004B43B9"/>
    <w:rsid w:val="004B658F"/>
    <w:rsid w:val="004D7F41"/>
    <w:rsid w:val="004E0596"/>
    <w:rsid w:val="004E1218"/>
    <w:rsid w:val="004E13A5"/>
    <w:rsid w:val="004E44AC"/>
    <w:rsid w:val="00513FFC"/>
    <w:rsid w:val="00544ED1"/>
    <w:rsid w:val="005806E7"/>
    <w:rsid w:val="00584A70"/>
    <w:rsid w:val="005E41BA"/>
    <w:rsid w:val="005E5A37"/>
    <w:rsid w:val="005F50A7"/>
    <w:rsid w:val="006103A9"/>
    <w:rsid w:val="006118F8"/>
    <w:rsid w:val="006323EC"/>
    <w:rsid w:val="00643190"/>
    <w:rsid w:val="0066588F"/>
    <w:rsid w:val="006850E7"/>
    <w:rsid w:val="0068626C"/>
    <w:rsid w:val="006921D5"/>
    <w:rsid w:val="006A235A"/>
    <w:rsid w:val="006C2C0F"/>
    <w:rsid w:val="006F3A50"/>
    <w:rsid w:val="006F5A2E"/>
    <w:rsid w:val="0072388D"/>
    <w:rsid w:val="00776B59"/>
    <w:rsid w:val="00793C1E"/>
    <w:rsid w:val="007A765F"/>
    <w:rsid w:val="00801742"/>
    <w:rsid w:val="00806CED"/>
    <w:rsid w:val="00820FD1"/>
    <w:rsid w:val="00853D6D"/>
    <w:rsid w:val="00887143"/>
    <w:rsid w:val="008A06DC"/>
    <w:rsid w:val="008A13D5"/>
    <w:rsid w:val="008A7380"/>
    <w:rsid w:val="008D67DA"/>
    <w:rsid w:val="008E5030"/>
    <w:rsid w:val="00935C57"/>
    <w:rsid w:val="00943558"/>
    <w:rsid w:val="00952599"/>
    <w:rsid w:val="0095359B"/>
    <w:rsid w:val="009A3330"/>
    <w:rsid w:val="009D0B6E"/>
    <w:rsid w:val="00A226FD"/>
    <w:rsid w:val="00A2522A"/>
    <w:rsid w:val="00A5432A"/>
    <w:rsid w:val="00A55800"/>
    <w:rsid w:val="00A663DF"/>
    <w:rsid w:val="00A7074F"/>
    <w:rsid w:val="00A76CB0"/>
    <w:rsid w:val="00A818B3"/>
    <w:rsid w:val="00AB08E4"/>
    <w:rsid w:val="00B521F2"/>
    <w:rsid w:val="00B637BC"/>
    <w:rsid w:val="00B652DF"/>
    <w:rsid w:val="00B7282B"/>
    <w:rsid w:val="00B972B2"/>
    <w:rsid w:val="00BD2682"/>
    <w:rsid w:val="00BE5EE2"/>
    <w:rsid w:val="00C4341F"/>
    <w:rsid w:val="00C43691"/>
    <w:rsid w:val="00C564A3"/>
    <w:rsid w:val="00C8178F"/>
    <w:rsid w:val="00CC64E3"/>
    <w:rsid w:val="00CD1016"/>
    <w:rsid w:val="00CD1067"/>
    <w:rsid w:val="00CD55D8"/>
    <w:rsid w:val="00CD66E3"/>
    <w:rsid w:val="00CF605A"/>
    <w:rsid w:val="00D01874"/>
    <w:rsid w:val="00D17805"/>
    <w:rsid w:val="00D63278"/>
    <w:rsid w:val="00D65C51"/>
    <w:rsid w:val="00D75FB0"/>
    <w:rsid w:val="00D83B8A"/>
    <w:rsid w:val="00DA52A5"/>
    <w:rsid w:val="00DA7E18"/>
    <w:rsid w:val="00DC2DCC"/>
    <w:rsid w:val="00DC5078"/>
    <w:rsid w:val="00DC5EDA"/>
    <w:rsid w:val="00DD38F7"/>
    <w:rsid w:val="00DE202F"/>
    <w:rsid w:val="00E678E8"/>
    <w:rsid w:val="00E77308"/>
    <w:rsid w:val="00EC3B2A"/>
    <w:rsid w:val="00EC5ED4"/>
    <w:rsid w:val="00EE1FE6"/>
    <w:rsid w:val="00EF5D71"/>
    <w:rsid w:val="00F137B5"/>
    <w:rsid w:val="00F2711D"/>
    <w:rsid w:val="00F362A7"/>
    <w:rsid w:val="00F4766C"/>
    <w:rsid w:val="00F81EB5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AC7EDC"/>
  <w15:docId w15:val="{713CB769-221D-D146-8261-C873D7C4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81EB5"/>
    <w:pPr>
      <w:ind w:left="720"/>
      <w:contextualSpacing/>
    </w:pPr>
  </w:style>
  <w:style w:type="character" w:styleId="Hyperlink">
    <w:name w:val="Hyperlink"/>
    <w:basedOn w:val="DefaultParagraphFont"/>
    <w:unhideWhenUsed/>
    <w:rsid w:val="003007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007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bi.ac.uk/ena/data/view/PRJEB284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my/Downloads/cabios_word_temp/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32B53E-D3C9-DF4F-928A-39538622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134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Microsoft Office User</dc:creator>
  <cp:lastModifiedBy>Microsoft Office User</cp:lastModifiedBy>
  <cp:revision>5</cp:revision>
  <cp:lastPrinted>2007-07-04T12:14:00Z</cp:lastPrinted>
  <dcterms:created xsi:type="dcterms:W3CDTF">2019-04-13T17:34:00Z</dcterms:created>
  <dcterms:modified xsi:type="dcterms:W3CDTF">2019-04-14T22:40:00Z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