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PersonalBaseToken 使用指南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我们推出了多维表格独立的鉴权体系，开发者</w:t>
      </w:r>
      <w:r>
        <w:rPr>
          <w:rFonts w:eastAsia="等线" w:ascii="Arial" w:cs="Arial" w:hAnsi="Arial"/>
          <w:sz w:val="22"/>
        </w:rPr>
        <w:t>可以在网页端获取某个多维表格的</w:t>
      </w:r>
      <w:r>
        <w:rPr>
          <w:rFonts w:eastAsia="等线" w:ascii="Arial" w:cs="Arial" w:hAnsi="Arial"/>
          <w:b w:val="true"/>
          <w:sz w:val="22"/>
        </w:rPr>
        <w:t>授权码</w:t>
      </w:r>
      <w:r>
        <w:rPr>
          <w:rFonts w:eastAsia="Consolas" w:ascii="Consolas" w:cs="Consolas" w:hAnsi="Consolas"/>
          <w:sz w:val="22"/>
          <w:shd w:fill="EFF0F1"/>
        </w:rPr>
        <w:t>PersonalBaseToken</w:t>
      </w:r>
      <w:r>
        <w:rPr>
          <w:rFonts w:eastAsia="等线" w:ascii="Arial" w:cs="Arial" w:hAnsi="Arial"/>
          <w:sz w:val="22"/>
        </w:rPr>
        <w:t xml:space="preserve">，即可在服务端通过 </w:t>
      </w:r>
      <w:hyperlink r:id="rId4">
        <w:r>
          <w:rPr>
            <w:rFonts w:eastAsia="等线" w:ascii="Arial" w:cs="Arial" w:hAnsi="Arial"/>
            <w:color w:val="3370ff"/>
            <w:sz w:val="22"/>
          </w:rPr>
          <w:t>BaseOpenSDK</w:t>
        </w:r>
      </w:hyperlink>
      <w:r>
        <w:rPr>
          <w:rFonts w:eastAsia="等线" w:ascii="Arial" w:cs="Arial" w:hAnsi="Arial"/>
          <w:sz w:val="22"/>
        </w:rPr>
        <w:t xml:space="preserve"> 读取和写入数据，以实现自定义功能。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优点：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无需申请飞书</w:t>
            </w:r>
            <w:r>
              <w:rPr>
                <w:rFonts w:eastAsia="等线" w:ascii="Arial" w:cs="Arial" w:hAnsi="Arial"/>
                <w:color w:val="646a73"/>
                <w:sz w:val="22"/>
              </w:rPr>
              <w:t>自建应用</w:t>
            </w:r>
            <w:r>
              <w:rPr>
                <w:rFonts w:eastAsia="等线" w:ascii="Arial" w:cs="Arial" w:hAnsi="Arial"/>
                <w:color w:val="646a73"/>
                <w:sz w:val="22"/>
              </w:rPr>
              <w:t>或上架到飞书应用目录。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BaseOpenSDK 接口定义和</w:t>
            </w:r>
            <w:hyperlink r:id="rId6">
              <w:r>
                <w:rPr>
                  <w:rFonts w:eastAsia="等线" w:ascii="Arial" w:cs="Arial" w:hAnsi="Arial"/>
                  <w:color w:val="3370ff"/>
                  <w:sz w:val="22"/>
                  <w:u w:val="single"/>
                </w:rPr>
                <w:t>飞书开放平台 OpenAPI</w:t>
              </w:r>
            </w:hyperlink>
            <w:r>
              <w:rPr>
                <w:rFonts w:eastAsia="等线" w:ascii="Arial" w:cs="Arial" w:hAnsi="Arial"/>
                <w:color w:val="646a73"/>
                <w:sz w:val="22"/>
              </w:rPr>
              <w:t xml:space="preserve"> 完全一致，无需额外的学习成本。 我们将复杂的逻辑内置处理，提供完备的类型系统、语义化的编程接口，提高开发者的</w:t>
            </w:r>
            <w:r>
              <w:rPr>
                <w:rFonts w:eastAsia="等线" w:ascii="Arial" w:cs="Arial" w:hAnsi="Arial"/>
                <w:color w:val="646a73"/>
                <w:sz w:val="22"/>
              </w:rPr>
              <w:t>编码</w:t>
            </w:r>
            <w:r>
              <w:rPr>
                <w:rFonts w:eastAsia="等线" w:ascii="Arial" w:cs="Arial" w:hAnsi="Arial"/>
                <w:color w:val="646a73"/>
                <w:sz w:val="22"/>
              </w:rPr>
              <w:t>体验。😙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如何使用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</w:t>
      </w:r>
      <w:hyperlink r:id="rId7">
        <w:r>
          <w:rPr>
            <w:rFonts w:eastAsia="等线" w:ascii="Arial" w:cs="Arial" w:hAnsi="Arial"/>
            <w:color w:val="3370ff"/>
            <w:sz w:val="22"/>
          </w:rPr>
          <w:t>开放平台鉴权流程</w:t>
        </w:r>
      </w:hyperlink>
      <w:r>
        <w:rPr>
          <w:rFonts w:eastAsia="等线" w:ascii="Arial" w:cs="Arial" w:hAnsi="Arial"/>
          <w:sz w:val="22"/>
        </w:rPr>
        <w:t>不同，Base 授权码</w:t>
      </w:r>
      <w:r>
        <w:rPr>
          <w:rFonts w:eastAsia="Consolas" w:ascii="Consolas" w:cs="Consolas" w:hAnsi="Consolas"/>
          <w:sz w:val="22"/>
          <w:shd w:fill="EFF0F1"/>
        </w:rPr>
        <w:t>PersonalBaseToken</w:t>
      </w:r>
      <w:r>
        <w:rPr>
          <w:rFonts w:eastAsia="等线" w:ascii="Arial" w:cs="Arial" w:hAnsi="Arial"/>
          <w:sz w:val="22"/>
        </w:rPr>
        <w:t>更方便获取和使用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sequenceDiagram</w:t>
              <w:br/>
              <w:t>participant User as 用户</w:t>
              <w:br/>
              <w:t>participant BaseWeb as Base 网页</w:t>
              <w:br/>
              <w:t>participant API as BaseOpenAPI</w:t>
              <w:br/>
              <w:t>participant DB as Base DB</w:t>
              <w:br/>
              <w:br/>
              <w:t>User-&gt;&gt;BaseWeb: 生成 PersonalBaseToken</w:t>
              <w:br/>
              <w:t>BaseWeb-&gt;&gt;User: 返回 PersonalBaseToken</w:t>
              <w:br/>
              <w:t>User-&gt;&gt;API: 使用 PersonalBaseToken 调用 OpenAPI</w:t>
              <w:br/>
              <w:t>API-&gt;&gt;DB: 读写 Base 数据</w:t>
              <w:br/>
              <w:t>DB-&gt;&gt;API: 返回成功/失败</w:t>
              <w:br/>
              <w:t>API-&gt;&gt;User: OpenAPI 响应</w:t>
              <w:br/>
              <w:br/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获取授权码</w:t>
      </w:r>
      <w:r>
        <w:rPr>
          <w:rFonts w:eastAsia="Consolas" w:ascii="Consolas" w:cs="Consolas" w:hAnsi="Consolas"/>
          <w:b w:val="true"/>
          <w:sz w:val="30"/>
          <w:shd w:fill="EFF0F1"/>
        </w:rPr>
        <w:t>PersonalBaseToken</w:t>
      </w:r>
      <w:bookmarkEnd w:id="2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4020"/>
              <w:gridCol w:w="4020"/>
            </w:tblGrid>
            <w:tr>
              <w:tc>
                <w:tcPr>
                  <w:tcW w:w="40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3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在插件市场中点击</w:t>
                  </w:r>
                  <w:r>
                    <w:rPr>
                      <w:rFonts w:eastAsia="Consolas" w:ascii="Consolas" w:cs="Consolas" w:hAnsi="Consolas"/>
                      <w:color w:val="245bdb"/>
                      <w:sz w:val="22"/>
                      <w:shd w:fill="EFF0F1"/>
                    </w:rPr>
                    <w:t>自定义插件</w:t>
                  </w:r>
                </w:p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2390775" cy="2152650"/>
                        <wp:docPr id="0" name="Drawing 0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0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90775" cy="2152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4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在自定义插件面板点击</w:t>
                  </w:r>
                  <w:r>
                    <w:rPr>
                      <w:rFonts w:eastAsia="Consolas" w:ascii="Consolas" w:cs="Consolas" w:hAnsi="Consolas"/>
                      <w:color w:val="245bdb"/>
                      <w:sz w:val="22"/>
                      <w:shd w:fill="EFF0F1"/>
                    </w:rPr>
                    <w:t>获取授权码</w:t>
                  </w:r>
                </w:p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2400300" cy="2400300"/>
                        <wp:docPr id="1" name="Drawing 1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00300" cy="2400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 xml:space="preserve">⚠️ 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请注意</w:t>
            </w:r>
            <w:r>
              <w:rPr>
                <w:rFonts w:eastAsia="等线" w:ascii="Arial" w:cs="Arial" w:hAnsi="Arial"/>
                <w:color w:val="d83931"/>
                <w:sz w:val="22"/>
              </w:rPr>
              <w:t>：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文档 </w:t>
            </w:r>
            <w:r>
              <w:rPr>
                <w:rFonts w:eastAsia="等线" w:ascii="Arial" w:cs="Arial" w:hAnsi="Arial"/>
                <w:b w:val="true"/>
                <w:sz w:val="22"/>
              </w:rPr>
              <w:t>所有者 / 管理员</w:t>
            </w:r>
            <w:r>
              <w:rPr>
                <w:rFonts w:eastAsia="等线" w:ascii="Arial" w:cs="Arial" w:hAnsi="Arial"/>
                <w:sz w:val="22"/>
              </w:rPr>
              <w:t xml:space="preserve">可以在多维表格网页端获取 </w:t>
            </w:r>
            <w:r>
              <w:rPr>
                <w:rFonts w:eastAsia="等线" w:ascii="Arial" w:cs="Arial" w:hAnsi="Arial"/>
                <w:b w:val="true"/>
                <w:sz w:val="22"/>
              </w:rPr>
              <w:t>当前多维表格</w:t>
            </w:r>
            <w:r>
              <w:rPr>
                <w:rFonts w:eastAsia="等线" w:ascii="Arial" w:cs="Arial" w:hAnsi="Arial"/>
                <w:sz w:val="22"/>
              </w:rPr>
              <w:t xml:space="preserve"> 的授权码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授权码是私密信息，通过授权码可以读取和编辑当前多维表格，</w:t>
            </w:r>
            <w:r>
              <w:rPr>
                <w:rFonts w:eastAsia="等线" w:ascii="Arial" w:cs="Arial" w:hAnsi="Arial"/>
                <w:b w:val="true"/>
                <w:sz w:val="22"/>
              </w:rPr>
              <w:t>请勿公开传播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使用授权码调用服务端接口操作数据，使用的身份为 </w:t>
            </w:r>
            <w:r>
              <w:rPr>
                <w:rFonts w:eastAsia="等线" w:ascii="Arial" w:cs="Arial" w:hAnsi="Arial"/>
                <w:b w:val="true"/>
                <w:sz w:val="22"/>
              </w:rPr>
              <w:t>授权码的生成者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授权码仅可操作对应的多维表格，每个多维表格的授权码需要独立生成和使用，互不影响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授权码默认 </w:t>
            </w:r>
            <w:r>
              <w:rPr>
                <w:rFonts w:eastAsia="等线" w:ascii="Arial" w:cs="Arial" w:hAnsi="Arial"/>
                <w:b w:val="true"/>
                <w:sz w:val="22"/>
              </w:rPr>
              <w:t>永久有效</w:t>
            </w:r>
            <w:r>
              <w:rPr>
                <w:rFonts w:eastAsia="等线" w:ascii="Arial" w:cs="Arial" w:hAnsi="Arial"/>
                <w:sz w:val="22"/>
              </w:rPr>
              <w:t>，除非在多维表格网页上手动关闭或更新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br/>
              <w:t xml:space="preserve">同步自文档: </w:t>
            </w: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https://bytedance.larkoffice.com/docx/InYkdmZQ8o7KihxL0CtcU3KNnwb#SdiGdL8ETsVRKjbDBDQcY1g8nrb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使用授权码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Base 在</w:t>
      </w:r>
      <w:r>
        <w:rPr>
          <w:rFonts w:eastAsia="等线" w:ascii="Arial" w:cs="Arial" w:hAnsi="Arial"/>
          <w:b w:val="true"/>
          <w:sz w:val="22"/>
        </w:rPr>
        <w:t>新域名</w:t>
      </w:r>
      <w:r>
        <w:rPr>
          <w:rFonts w:eastAsia="等线" w:ascii="Arial" w:cs="Arial" w:hAnsi="Arial"/>
          <w:sz w:val="22"/>
        </w:rPr>
        <w:t xml:space="preserve">独立部署了一套 Base 业务的 </w:t>
      </w:r>
      <w:r>
        <w:rPr>
          <w:rFonts w:eastAsia="等线" w:ascii="Arial" w:cs="Arial" w:hAnsi="Arial"/>
          <w:sz w:val="22"/>
        </w:rPr>
        <w:t>OpenAPI</w:t>
      </w:r>
      <w:r>
        <w:rPr>
          <w:rFonts w:eastAsia="等线" w:ascii="Arial" w:cs="Arial" w:hAnsi="Arial"/>
          <w:sz w:val="22"/>
        </w:rPr>
        <w:t xml:space="preserve">，接口路径、接口定义和 </w:t>
      </w:r>
      <w:hyperlink r:id="rId11">
        <w:r>
          <w:rPr>
            <w:rFonts w:eastAsia="等线" w:ascii="Arial" w:cs="Arial" w:hAnsi="Arial"/>
            <w:color w:val="3370ff"/>
            <w:sz w:val="22"/>
            <w:u w:val="single"/>
          </w:rPr>
          <w:t>飞书开放平台 OpenAPI</w:t>
        </w:r>
      </w:hyperlink>
      <w:r>
        <w:rPr>
          <w:rFonts w:eastAsia="等线" w:ascii="Arial" w:cs="Arial" w:hAnsi="Arial"/>
          <w:sz w:val="22"/>
        </w:rPr>
        <w:t xml:space="preserve"> 完全一致，没有额外的学习成本。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45"/>
        <w:gridCol w:w="3675"/>
      </w:tblGrid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品牌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域名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https://base-api.feishu.cn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Lark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https://base-api.larksuite.com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访问示例（列出记录）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  <w:shd w:fill="fbbfbc"/>
              </w:rPr>
              <w:t>红色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表示与开放平台 </w:t>
            </w:r>
            <w:r>
              <w:rPr>
                <w:rFonts w:eastAsia="等线" w:ascii="Arial" w:cs="Arial" w:hAnsi="Arial"/>
                <w:color w:val="646a73"/>
                <w:sz w:val="22"/>
              </w:rPr>
              <w:t>OpenAPI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调用的差异点</w:t>
            </w:r>
          </w:p>
        </w:tc>
      </w:tr>
    </w:tbl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使用新域名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 Header 进行鉴权 Authorization：Bearer [PersonalBaseToken]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95"/>
        <w:gridCol w:w="6585"/>
      </w:tblGrid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协议和方法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GET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域名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bbfbc"/>
              </w:rPr>
              <w:t>https://base-api.feishu.cn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bbfbc"/>
              </w:rPr>
              <w:t>https://base-api.larksuite.com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 和 Seesion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</w:t>
            </w:r>
            <w:r>
              <w:rPr>
                <w:rFonts w:eastAsia="等线" w:ascii="Arial" w:cs="Arial" w:hAnsi="Arial"/>
                <w:sz w:val="22"/>
              </w:rPr>
              <w:t xml:space="preserve"> 路径：/open-apis/</w:t>
            </w:r>
            <w:r>
              <w:rPr>
                <w:rFonts w:eastAsia="等线" w:ascii="Arial" w:cs="Arial" w:hAnsi="Arial"/>
                <w:sz w:val="22"/>
              </w:rPr>
              <w:t>bitable</w:t>
            </w:r>
            <w:r>
              <w:rPr>
                <w:rFonts w:eastAsia="等线" w:ascii="Arial" w:cs="Arial" w:hAnsi="Arial"/>
                <w:sz w:val="22"/>
              </w:rPr>
              <w:t>/v1/apps/:app_token/tables/:table_id/records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Header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bbfbc"/>
              </w:rPr>
              <w:t>Authorization: Bearer [PersonalBaseToken]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QueryParam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345"/>
            </w:tblGrid>
            <w:tr>
              <w:tc>
                <w:tcPr>
                  <w:tcW w:w="634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filter:CurrentValue.[多行文本]="测试双向关联3333"</w:t>
                    <w:br/>
                    <w:t>sort:"["字段1 DESC"]"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page_size:20</w:t>
                  </w:r>
                </w:p>
              </w:tc>
            </w:tr>
          </w:tbl>
          <w:p/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Response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345"/>
            </w:tblGrid>
            <w:tr>
              <w:tc>
                <w:tcPr>
                  <w:tcW w:w="634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t>{</w:t>
                    <w:br/>
                    <w:t xml:space="preserve">    "code": 0,</w:t>
                    <w:br/>
                    <w:t xml:space="preserve">    "data": {</w:t>
                    <w:br/>
                    <w:t xml:space="preserve">        "has_more": true,</w:t>
                    <w:br/>
                    <w:t xml:space="preserve">        "items": [</w:t>
                    <w:br/>
                    <w:t xml:space="preserve">            {</w:t>
                    <w:br/>
                    <w:t xml:space="preserve">                "fields": {</w:t>
                    <w:br/>
                    <w:t xml:space="preserve">                    "其他表": [</w:t>
                    <w:br/>
                    <w:t xml:space="preserve">                        {</w:t>
                    <w:br/>
                    <w:t xml:space="preserve">                            "record_ids": [</w:t>
                    <w:br/>
                    <w:t xml:space="preserve">                                "rec2ltnYkQ",</w:t>
                    <w:br/>
                    <w:t xml:space="preserve">                                "recZE5zqYP"</w:t>
                    <w:br/>
                    <w:t xml:space="preserve">                            ],</w:t>
                    <w:br/>
                    <w:t xml:space="preserve">                            "table_id": "tblvC2gefQet5bTV",</w:t>
                    <w:br/>
                    <w:t xml:space="preserve">                            "text": "测试,测试2",</w:t>
                    <w:br/>
                    <w:t xml:space="preserve">                            "text_arr": [</w:t>
                    <w:br/>
                    <w:t xml:space="preserve">                                "测试",</w:t>
                    <w:br/>
                    <w:t xml:space="preserve">                                "测试2"</w:t>
                    <w:br/>
                    <w:t xml:space="preserve">                            ],</w:t>
                    <w:br/>
                    <w:t xml:space="preserve">                            "type": "text"</w:t>
                    <w:br/>
                    <w:t xml:space="preserve">                        }</w:t>
                    <w:br/>
                    <w:t xml:space="preserve">                    ],</w:t>
                    <w:br/>
                    <w:t xml:space="preserve">                },</w:t>
                    <w:br/>
                    <w:t xml:space="preserve">                "id": "rec0iAsbhD",</w:t>
                    <w:br/>
                    <w:t xml:space="preserve">                "record_id": "rec0iAsbhD"</w:t>
                    <w:br/>
                    <w:t xml:space="preserve">            }</w:t>
                    <w:br/>
                    <w:t xml:space="preserve">        ],</w:t>
                    <w:br/>
                    <w:t xml:space="preserve">        "page_token": "rec0iAsbhD",</w:t>
                    <w:br/>
                    <w:t xml:space="preserve">        "total": 9</w:t>
                    <w:br/>
                    <w:t xml:space="preserve">    },</w:t>
                    <w:br/>
                    <w:t xml:space="preserve">    "msg": "success"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接口范围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授权码仅能操作 </w:t>
      </w:r>
      <w:r>
        <w:rPr>
          <w:rFonts w:eastAsia="等线" w:ascii="Arial" w:cs="Arial" w:hAnsi="Arial"/>
          <w:b w:val="true"/>
          <w:sz w:val="22"/>
        </w:rPr>
        <w:t>Base 相关</w:t>
      </w:r>
      <w:r>
        <w:rPr>
          <w:rFonts w:eastAsia="等线" w:ascii="Arial" w:cs="Arial" w:hAnsi="Arial"/>
          <w:sz w:val="22"/>
        </w:rPr>
        <w:t>的开放接口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210"/>
        <w:gridCol w:w="3915"/>
      </w:tblGrid>
      <w:tr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业务域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范围</w:t>
            </w:r>
          </w:p>
        </w:tc>
      </w:tr>
      <w:tr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云文档 - </w:t>
            </w:r>
            <w:r>
              <w:rPr>
                <w:rFonts w:eastAsia="等线" w:ascii="Arial" w:cs="Arial" w:hAnsi="Arial"/>
                <w:sz w:val="22"/>
              </w:rPr>
              <w:t>多维表格</w:t>
            </w:r>
            <w:r>
              <w:rPr>
                <w:rFonts w:eastAsia="等线" w:ascii="Arial" w:cs="Arial" w:hAnsi="Arial"/>
                <w:sz w:val="22"/>
              </w:rPr>
              <w:t>（Base）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4">
              <w:r>
                <w:rPr>
                  <w:rFonts w:eastAsia="等线" w:ascii="Arial" w:cs="Arial" w:hAnsi="Arial"/>
                  <w:color w:val="3370ff"/>
                  <w:sz w:val="22"/>
                </w:rPr>
                <w:t>全部接口</w:t>
              </w:r>
            </w:hyperlink>
          </w:p>
        </w:tc>
      </w:tr>
      <w:tr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云文档 - 云空间（Drive）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5">
              <w:r>
                <w:rPr>
                  <w:rFonts w:eastAsia="等线" w:ascii="Arial" w:cs="Arial" w:hAnsi="Arial"/>
                  <w:color w:val="3370ff"/>
                  <w:sz w:val="22"/>
                </w:rPr>
                <w:t>上传素材</w:t>
              </w:r>
            </w:hyperlink>
            <w:r>
              <w:rPr>
                <w:rFonts w:eastAsia="等线" w:ascii="Arial" w:cs="Arial" w:hAnsi="Arial"/>
                <w:sz w:val="22"/>
              </w:rPr>
              <w:t>、</w:t>
            </w:r>
            <w:hyperlink r:id="rId16">
              <w:r>
                <w:rPr>
                  <w:rFonts w:eastAsia="等线" w:ascii="Arial" w:cs="Arial" w:hAnsi="Arial"/>
                  <w:color w:val="3370ff"/>
                  <w:sz w:val="22"/>
                </w:rPr>
                <w:t>下载素材</w:t>
              </w:r>
            </w:hyperlink>
            <w:r>
              <w:rPr>
                <w:rFonts w:eastAsia="等线" w:ascii="Arial" w:cs="Arial" w:hAnsi="Arial"/>
                <w:sz w:val="22"/>
              </w:rPr>
              <w:t>两个接口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使用 BaseOpenSDK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我们提供了多个语言版本的 Server </w:t>
      </w:r>
      <w:r>
        <w:rPr>
          <w:rFonts w:eastAsia="等线" w:ascii="Arial" w:cs="Arial" w:hAnsi="Arial"/>
          <w:sz w:val="22"/>
        </w:rPr>
        <w:t>SDK</w:t>
      </w:r>
      <w:r>
        <w:rPr>
          <w:rFonts w:eastAsia="等线" w:ascii="Arial" w:cs="Arial" w:hAnsi="Arial"/>
          <w:sz w:val="22"/>
        </w:rPr>
        <w:t>，将所有冗长的接口逻辑内置处理，提供完备的类型系统、语义化的编程接口，提高开发者的</w:t>
      </w:r>
      <w:r>
        <w:rPr>
          <w:rFonts w:eastAsia="等线" w:ascii="Arial" w:cs="Arial" w:hAnsi="Arial"/>
          <w:sz w:val="22"/>
        </w:rPr>
        <w:t>编码</w:t>
      </w:r>
      <w:r>
        <w:rPr>
          <w:rFonts w:eastAsia="等线" w:ascii="Arial" w:cs="Arial" w:hAnsi="Arial"/>
          <w:sz w:val="22"/>
        </w:rPr>
        <w:t>体验。😙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NodeSDK</w:t>
        </w:r>
      </w:hyperlink>
    </w:p>
    <w:p>
      <w:pPr>
        <w:numPr>
          <w:numId w:val="13"/>
        </w:numPr>
        <w:spacing w:before="120" w:after="120" w:line="288" w:lineRule="auto"/>
        <w:ind w:left="0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PythonSDK</w:t>
        </w:r>
      </w:hyperlink>
    </w:p>
    <w:p>
      <w:pPr>
        <w:numPr>
          <w:numId w:val="14"/>
        </w:numPr>
        <w:spacing w:before="120" w:after="120" w:line="288" w:lineRule="auto"/>
        <w:ind w:left="0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Go</w:t>
        </w:r>
      </w:hyperlink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JAVA</w:t>
      </w:r>
      <w:r>
        <w:rPr>
          <w:rFonts w:eastAsia="等线" w:ascii="Arial" w:cs="Arial" w:hAnsi="Arial"/>
          <w:sz w:val="22"/>
        </w:rPr>
        <w:t>（敬请期待）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安全风险</w:t>
      </w:r>
      <w:bookmarkEnd w:id="6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de2e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授权码是私密信息，通过授权码可以读取和编辑当前</w:t>
            </w:r>
            <w:r>
              <w:rPr>
                <w:rFonts w:eastAsia="等线" w:ascii="Arial" w:cs="Arial" w:hAnsi="Arial"/>
                <w:sz w:val="22"/>
              </w:rPr>
              <w:t>多维表格</w:t>
            </w:r>
            <w:r>
              <w:rPr>
                <w:rFonts w:eastAsia="等线" w:ascii="Arial" w:cs="Arial" w:hAnsi="Arial"/>
                <w:sz w:val="22"/>
              </w:rPr>
              <w:t>，</w:t>
            </w:r>
            <w:r>
              <w:rPr>
                <w:rFonts w:eastAsia="等线" w:ascii="Arial" w:cs="Arial" w:hAnsi="Arial"/>
                <w:b w:val="true"/>
                <w:sz w:val="22"/>
              </w:rPr>
              <w:t>请勿公开传播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4409">
    <w:lvl>
      <w:numFmt w:val="bullet"/>
      <w:suff w:val="tab"/>
      <w:lvlText w:val="•"/>
      <w:rPr>
        <w:color w:val="3370ff"/>
      </w:rPr>
    </w:lvl>
  </w:abstractNum>
  <w:abstractNum w:abstractNumId="104410">
    <w:lvl>
      <w:numFmt w:val="bullet"/>
      <w:suff w:val="tab"/>
      <w:lvlText w:val="•"/>
      <w:rPr>
        <w:color w:val="3370ff"/>
      </w:rPr>
    </w:lvl>
  </w:abstractNum>
  <w:abstractNum w:abstractNumId="104411">
    <w:lvl>
      <w:start w:val="1"/>
      <w:numFmt w:val="decimal"/>
      <w:suff w:val="tab"/>
      <w:lvlText w:val="%1."/>
      <w:rPr>
        <w:color w:val="3370ff"/>
      </w:rPr>
    </w:lvl>
  </w:abstractNum>
  <w:abstractNum w:abstractNumId="104412">
    <w:lvl>
      <w:start w:val="2"/>
      <w:numFmt w:val="decimal"/>
      <w:suff w:val="tab"/>
      <w:lvlText w:val="%1."/>
      <w:rPr>
        <w:color w:val="3370ff"/>
      </w:rPr>
    </w:lvl>
  </w:abstractNum>
  <w:abstractNum w:abstractNumId="104413">
    <w:lvl>
      <w:numFmt w:val="bullet"/>
      <w:suff w:val="tab"/>
      <w:lvlText w:val="•"/>
      <w:rPr>
        <w:color w:val="3370ff"/>
      </w:rPr>
    </w:lvl>
  </w:abstractNum>
  <w:abstractNum w:abstractNumId="104414">
    <w:lvl>
      <w:numFmt w:val="bullet"/>
      <w:suff w:val="tab"/>
      <w:lvlText w:val="•"/>
      <w:rPr>
        <w:color w:val="3370ff"/>
      </w:rPr>
    </w:lvl>
  </w:abstractNum>
  <w:abstractNum w:abstractNumId="104415">
    <w:lvl>
      <w:numFmt w:val="bullet"/>
      <w:suff w:val="tab"/>
      <w:lvlText w:val="•"/>
      <w:rPr>
        <w:color w:val="3370ff"/>
      </w:rPr>
    </w:lvl>
  </w:abstractNum>
  <w:abstractNum w:abstractNumId="104416">
    <w:lvl>
      <w:numFmt w:val="bullet"/>
      <w:suff w:val="tab"/>
      <w:lvlText w:val="•"/>
      <w:rPr>
        <w:color w:val="3370ff"/>
      </w:rPr>
    </w:lvl>
  </w:abstractNum>
  <w:abstractNum w:abstractNumId="104417">
    <w:lvl>
      <w:numFmt w:val="bullet"/>
      <w:suff w:val="tab"/>
      <w:lvlText w:val="•"/>
      <w:rPr>
        <w:color w:val="3370ff"/>
      </w:rPr>
    </w:lvl>
  </w:abstractNum>
  <w:abstractNum w:abstractNumId="104418">
    <w:lvl>
      <w:numFmt w:val="bullet"/>
      <w:suff w:val="tab"/>
      <w:lvlText w:val="•"/>
      <w:rPr>
        <w:color w:val="3370ff"/>
      </w:rPr>
    </w:lvl>
  </w:abstractNum>
  <w:abstractNum w:abstractNumId="104419">
    <w:lvl>
      <w:numFmt w:val="bullet"/>
      <w:suff w:val="tab"/>
      <w:lvlText w:val="•"/>
      <w:rPr>
        <w:color w:val="3370ff"/>
      </w:rPr>
    </w:lvl>
  </w:abstractNum>
  <w:abstractNum w:abstractNumId="104420">
    <w:lvl>
      <w:numFmt w:val="bullet"/>
      <w:suff w:val="tab"/>
      <w:lvlText w:val="•"/>
      <w:rPr>
        <w:color w:val="3370ff"/>
      </w:rPr>
    </w:lvl>
  </w:abstractNum>
  <w:abstractNum w:abstractNumId="104421">
    <w:lvl>
      <w:numFmt w:val="bullet"/>
      <w:suff w:val="tab"/>
      <w:lvlText w:val="•"/>
      <w:rPr>
        <w:color w:val="3370ff"/>
      </w:rPr>
    </w:lvl>
  </w:abstractNum>
  <w:abstractNum w:abstractNumId="104422">
    <w:lvl>
      <w:numFmt w:val="bullet"/>
      <w:suff w:val="tab"/>
      <w:lvlText w:val="•"/>
      <w:rPr>
        <w:color w:val="3370ff"/>
      </w:rPr>
    </w:lvl>
  </w:abstractNum>
  <w:abstractNum w:abstractNumId="104423">
    <w:lvl>
      <w:numFmt w:val="bullet"/>
      <w:suff w:val="tab"/>
      <w:lvlText w:val="•"/>
      <w:rPr>
        <w:color w:val="3370ff"/>
      </w:rPr>
    </w:lvl>
  </w:abstractNum>
  <w:num w:numId="1">
    <w:abstractNumId w:val="104409"/>
  </w:num>
  <w:num w:numId="2">
    <w:abstractNumId w:val="104410"/>
  </w:num>
  <w:num w:numId="3">
    <w:abstractNumId w:val="104411"/>
  </w:num>
  <w:num w:numId="4">
    <w:abstractNumId w:val="104412"/>
  </w:num>
  <w:num w:numId="5">
    <w:abstractNumId w:val="104413"/>
  </w:num>
  <w:num w:numId="6">
    <w:abstractNumId w:val="104414"/>
  </w:num>
  <w:num w:numId="7">
    <w:abstractNumId w:val="104415"/>
  </w:num>
  <w:num w:numId="8">
    <w:abstractNumId w:val="104416"/>
  </w:num>
  <w:num w:numId="9">
    <w:abstractNumId w:val="104417"/>
  </w:num>
  <w:num w:numId="10">
    <w:abstractNumId w:val="104418"/>
  </w:num>
  <w:num w:numId="11">
    <w:abstractNumId w:val="104419"/>
  </w:num>
  <w:num w:numId="12">
    <w:abstractNumId w:val="104420"/>
  </w:num>
  <w:num w:numId="13">
    <w:abstractNumId w:val="104421"/>
  </w:num>
  <w:num w:numId="14">
    <w:abstractNumId w:val="104422"/>
  </w:num>
  <w:num w:numId="15">
    <w:abstractNumId w:val="10442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bytedance.larkoffice.com/docx/InYkdmZQ8o7KihxL0CtcU3KNnwb#SdiGdL8ETsVRKjbDBDQcY1g8nrb" TargetMode="External" Type="http://schemas.openxmlformats.org/officeDocument/2006/relationships/hyperlink"/><Relationship Id="rId11" Target="https://open.feishu.cn/document/server-docs/docs/bitable-v1/bitable-overview" TargetMode="External" Type="http://schemas.openxmlformats.org/officeDocument/2006/relationships/hyperlink"/><Relationship Id="rId12" Target="https://base-api.feishu.cn" TargetMode="External" Type="http://schemas.openxmlformats.org/officeDocument/2006/relationships/hyperlink"/><Relationship Id="rId13" Target="https://base-api.larksuite.com" TargetMode="External" Type="http://schemas.openxmlformats.org/officeDocument/2006/relationships/hyperlink"/><Relationship Id="rId14" Target="https://open.feishu.cn/document/server-docs/docs/bitable-v1/bitable-overview" TargetMode="External" Type="http://schemas.openxmlformats.org/officeDocument/2006/relationships/hyperlink"/><Relationship Id="rId15" Target="https://open.feishu.cn/document/server-docs/docs/drive-v1/media/upload_all" TargetMode="External" Type="http://schemas.openxmlformats.org/officeDocument/2006/relationships/hyperlink"/><Relationship Id="rId16" Target="https://open.feishu.cn/document/server-docs/docs/drive-v1/media/download" TargetMode="External" Type="http://schemas.openxmlformats.org/officeDocument/2006/relationships/hyperlink"/><Relationship Id="rId17" Target="https://feishu.feishu.cn/docx/RlrpdAGwnoONCaxmIVQcD7MZnug" TargetMode="External" Type="http://schemas.openxmlformats.org/officeDocument/2006/relationships/hyperlink"/><Relationship Id="rId18" Target="https://feishu.feishu.cn/docx/AtcId8w25oAj4WxOaxicsXgGn8b" TargetMode="External" Type="http://schemas.openxmlformats.org/officeDocument/2006/relationships/hyperlink"/><Relationship Id="rId19" Target="https://feishu.feishu.cn/docx/RdV0dkFKooP3d3xnwg9cIUwPnHd" TargetMode="External" Type="http://schemas.openxmlformats.org/officeDocument/2006/relationships/hyperlink"/><Relationship Id="rId2" Target="styles.xml" Type="http://schemas.openxmlformats.org/officeDocument/2006/relationships/styles"/><Relationship Id="rId20" Target="header1.xml" Type="http://schemas.openxmlformats.org/officeDocument/2006/relationships/header"/><Relationship Id="rId3" Target="footer1.xml" Type="http://schemas.openxmlformats.org/officeDocument/2006/relationships/footer"/><Relationship Id="rId4" Target="https://feishu.feishu.cn/docx/WL3odCnn3o42oFx2mxfcYRDgnYe" TargetMode="External" Type="http://schemas.openxmlformats.org/officeDocument/2006/relationships/hyperlink"/><Relationship Id="rId5" Target="numbering.xml" Type="http://schemas.openxmlformats.org/officeDocument/2006/relationships/numbering"/><Relationship Id="rId6" Target="https://open.feishu.cn/document/server-docs/docs/bitable-v1/bitable-overview" TargetMode="External" Type="http://schemas.openxmlformats.org/officeDocument/2006/relationships/hyperlink"/><Relationship Id="rId7" Target="https://open.feishu.cn/document/server-docs/api-call-guide/calling-process/get-access-token" TargetMode="External" Type="http://schemas.openxmlformats.org/officeDocument/2006/relationships/hyperlink"/><Relationship Id="rId8" Target="media/image1.png" Type="http://schemas.openxmlformats.org/officeDocument/2006/relationships/image"/><Relationship Id="rId9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2026-03-31T06:27:31Z</dcterms:created>
  <dc:creator>Apache POI</dc:creator>
</cp:coreProperties>
</file>