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SISEXP-UPLA — Arquitectura de Microservicios</w:t>
      </w:r>
    </w:p>
    <w:p>
      <w:pPr>
        <w:pStyle w:val="Subtitle"/>
      </w:pPr>
      <w:r>
        <w:t xml:space="preserve">Universidad Peruana Los Andes — Arquitectura de Software — VIII Ciclo — 2026</w:t>
      </w:r>
    </w:p>
    <w:bookmarkStart w:id="11" w:name="X6c2178ba525601f83cc328c5ffb455c891ddacf"/>
    <w:p>
      <w:pPr>
        <w:pStyle w:val="Heading1"/>
      </w:pPr>
      <w:r>
        <w:rPr>
          <w:b/>
          <w:bCs/>
        </w:rPr>
        <w:t xml:space="preserve">SISEXP-UPLA — Arquitectura de Microservicios</w:t>
      </w:r>
    </w:p>
    <w:bookmarkStart w:id="10" w:name="universidad-peruana-los-andes"/>
    <w:p>
      <w:pPr>
        <w:pStyle w:val="Heading2"/>
      </w:pPr>
      <w:r>
        <w:rPr>
          <w:b/>
          <w:bCs/>
        </w:rPr>
        <w:t xml:space="preserve">Universidad Peruana Los Andes</w:t>
      </w:r>
    </w:p>
    <w:bookmarkStart w:id="9" w:name="arquitectura-de-software-viii-ciclo-2026"/>
    <w:p>
      <w:pPr>
        <w:pStyle w:val="Heading3"/>
      </w:pPr>
      <w:r>
        <w:rPr>
          <w:b/>
          <w:bCs/>
        </w:rPr>
        <w:t xml:space="preserve">Arquitectura de Software — VIII Ciclo — 2026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41" w:name="tabla-de-contenido"/>
    <w:p>
      <w:pPr>
        <w:pStyle w:val="Heading1"/>
      </w:pPr>
      <w:r>
        <w:rPr>
          <w:b/>
          <w:bCs/>
        </w:rPr>
        <w:t xml:space="preserve">Tabla de Contenido</w:t>
      </w:r>
    </w:p>
    <w:p>
      <w:r>
        <w:pict>
          <v:rect style="width:0;height:1.5pt" o:hralign="center" o:hrstd="t" o:hr="t"/>
        </w:pict>
      </w:r>
    </w:p>
    <w:bookmarkStart w:id="12" w:name="introduccion"/>
    <w:p>
      <w:pPr>
        <w:pStyle w:val="Heading2"/>
      </w:pPr>
      <w:r>
        <w:rPr>
          <w:b/>
          <w:bCs/>
        </w:rPr>
        <w:t xml:space="preserve">1. Introduccion</w:t>
      </w:r>
    </w:p>
    <w:p>
      <w:pPr>
        <w:pStyle w:val="FirstParagraph"/>
      </w:pPr>
      <w:r>
        <w:t xml:space="preserve">SISEXP-UPLA es un sistema de seguimiento y control de expedientes para la Universidad Peruana Los Andes. Este documento describe la</w:t>
      </w:r>
      <w:r>
        <w:t xml:space="preserve"> </w:t>
      </w:r>
      <w:r>
        <w:rPr>
          <w:b/>
          <w:bCs/>
        </w:rPr>
        <w:t xml:space="preserve">migracion de arquitectura monolitica a microservicios</w:t>
      </w:r>
      <w:r>
        <w:t xml:space="preserve">, implementando 12 contenedores Docker con comunicacion REST, RabbitMQ y Service Discovery.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presupuestal: Techo → POI → PAP → Expediente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(Usuario, TechoPresupuestal, ActividadPOI, NecesidadPAP, Expediente, DocumentoAdjunto, SeguimientoLog, Notificacion,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(Administrador, Coordinacion, Secretaria, Director, Laboratorio, Decanato)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(Borrador, En_revision, Aprobado, Rechazado, Finalizado, Observado, Derivado)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tack-tecnologico"/>
    <w:p>
      <w:pPr>
        <w:pStyle w:val="Heading2"/>
      </w:pPr>
      <w:r>
        <w:rPr>
          <w:b/>
          <w:bCs/>
        </w:rPr>
        <w:t xml:space="preserve">2. Stack Tecnologico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Lenguaje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Netflix Eureka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(jjwt)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3-management-alpine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16-alpine (4 instancias)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29.5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 SPA + NGINX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Actuator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0" w:name="arquitectura-de-microservicios"/>
    <w:p>
      <w:pPr>
        <w:pStyle w:val="Heading2"/>
      </w:pPr>
      <w:r>
        <w:rPr>
          <w:b/>
          <w:bCs/>
        </w:rPr>
        <w:t xml:space="preserve">3. Arquitectura de Microservicios</w:t>
      </w:r>
    </w:p>
    <w:p>
      <w:pPr>
        <w:pStyle w:val="FirstParagraph"/>
      </w:pPr>
      <w:r>
        <w:drawing>
          <wp:inline>
            <wp:extent cx="5753100" cy="399433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iagramas/arquitectura-microservicio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9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7" w:name="diagrama-de-despliegue"/>
    <w:p>
      <w:pPr>
        <w:pStyle w:val="Heading3"/>
      </w:pPr>
      <w:r>
        <w:rPr>
          <w:b/>
          <w:bCs/>
        </w:rPr>
        <w:t xml:space="preserve">3.1 Diagrama de Despliegue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Docker Compose (12 contenedores)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 ┌──────────────────┐     ┌───────────────────┐  │</w:t>
      </w:r>
      <w:r>
        <w:br/>
      </w:r>
      <w:r>
        <w:rPr>
          <w:rStyle w:val="VerbatimChar"/>
        </w:rPr>
        <w:t xml:space="preserve">│  │  NGINX   │────→│   API Gateway    │←────│  Eureka Server    │  │</w:t>
      </w:r>
      <w:r>
        <w:br/>
      </w:r>
      <w:r>
        <w:rPr>
          <w:rStyle w:val="VerbatimChar"/>
        </w:rPr>
        <w:t xml:space="preserve">│  │  :80     │     │   :8080          │     │  :8761            │  │</w:t>
      </w:r>
      <w:r>
        <w:br/>
      </w:r>
      <w:r>
        <w:rPr>
          <w:rStyle w:val="VerbatimChar"/>
        </w:rPr>
        <w:t xml:space="preserve">│  │ (React)  │     │ (Spring Cloud)   │     │ (Service Discov.) │  │</w:t>
      </w:r>
      <w:r>
        <w:br/>
      </w:r>
      <w:r>
        <w:rPr>
          <w:rStyle w:val="VerbatimChar"/>
        </w:rPr>
        <w:t xml:space="preserve">│  └──────────┘     └───────┬──────────┘     └───────────────────┘  │</w:t>
      </w:r>
      <w:r>
        <w:br/>
      </w:r>
      <w:r>
        <w:rPr>
          <w:rStyle w:val="VerbatimChar"/>
        </w:rPr>
        <w:t xml:space="preserve">│                           │                                        │</w:t>
      </w:r>
      <w:r>
        <w:br/>
      </w:r>
      <w:r>
        <w:rPr>
          <w:rStyle w:val="VerbatimChar"/>
        </w:rPr>
        <w:t xml:space="preserve">│        ┌──────────────────┼───────────────────┐                    │</w:t>
      </w:r>
      <w:r>
        <w:br/>
      </w:r>
      <w:r>
        <w:rPr>
          <w:rStyle w:val="VerbatimChar"/>
        </w:rPr>
        <w:t xml:space="preserve">│        ↓                  ↓                   ↓                    │</w:t>
      </w:r>
      <w:r>
        <w:br/>
      </w:r>
      <w:r>
        <w:rPr>
          <w:rStyle w:val="VerbatimChar"/>
        </w:rPr>
        <w:t xml:space="preserve">│  ┌───────────┐   ┌───────────────┐   ┌───────────────┐            │</w:t>
      </w:r>
      <w:r>
        <w:br/>
      </w:r>
      <w:r>
        <w:rPr>
          <w:rStyle w:val="VerbatimChar"/>
        </w:rPr>
        <w:t xml:space="preserve">│  │ AUTH-SVC  │   │PRESUPUESTO-SVC│   │ EXPEDIENTE-SVC│            │</w:t>
      </w:r>
      <w:r>
        <w:br/>
      </w:r>
      <w:r>
        <w:rPr>
          <w:rStyle w:val="VerbatimChar"/>
        </w:rPr>
        <w:t xml:space="preserve">│  │ :8081     │   │ :8082         │   │ :8083         │            │</w:t>
      </w:r>
      <w:r>
        <w:br/>
      </w:r>
      <w:r>
        <w:rPr>
          <w:rStyle w:val="VerbatimChar"/>
        </w:rPr>
        <w:t xml:space="preserve">│  └─────┬─────┘   └──────┬────────┘   └───┬───────┬───┘            │</w:t>
      </w:r>
      <w:r>
        <w:br/>
      </w:r>
      <w:r>
        <w:rPr>
          <w:rStyle w:val="VerbatimChar"/>
        </w:rPr>
        <w:t xml:space="preserve">│        ↓                ↓                ↓       │                │</w:t>
      </w:r>
      <w:r>
        <w:br/>
      </w:r>
      <w:r>
        <w:rPr>
          <w:rStyle w:val="VerbatimChar"/>
        </w:rPr>
        <w:t xml:space="preserve">│  ┌───────────┐   ┌───────────┐   ┌──────────┐   │                │</w:t>
      </w:r>
      <w:r>
        <w:br/>
      </w:r>
      <w:r>
        <w:rPr>
          <w:rStyle w:val="VerbatimChar"/>
        </w:rPr>
        <w:t xml:space="preserve">│  │  PG Auth  │   │ PG Presup │   │ PG Exped │   │                │</w:t>
      </w:r>
      <w:r>
        <w:br/>
      </w:r>
      <w:r>
        <w:rPr>
          <w:rStyle w:val="VerbatimChar"/>
        </w:rPr>
        <w:t xml:space="preserve">│  │  :5433    │   │ :5434     │   │ :5435    │   │                │</w:t>
      </w:r>
      <w:r>
        <w:br/>
      </w:r>
      <w:r>
        <w:rPr>
          <w:rStyle w:val="VerbatimChar"/>
        </w:rPr>
        <w:t xml:space="preserve">│  └───────────┘   └───────────┘   └──────────┘   │                │</w:t>
      </w:r>
      <w:r>
        <w:br/>
      </w:r>
      <w:r>
        <w:rPr>
          <w:rStyle w:val="VerbatimChar"/>
        </w:rPr>
        <w:t xml:space="preserve">│                                                  ↓                │</w:t>
      </w:r>
      <w:r>
        <w:br/>
      </w:r>
      <w:r>
        <w:rPr>
          <w:rStyle w:val="VerbatimChar"/>
        </w:rPr>
        <w:t xml:space="preserve">│  ┌───────────┐                       ┌────────────────┐          │</w:t>
      </w:r>
      <w:r>
        <w:br/>
      </w:r>
      <w:r>
        <w:rPr>
          <w:rStyle w:val="VerbatimChar"/>
        </w:rPr>
        <w:t xml:space="preserve">│  │ NOTIF-SVC │←──────────────────────│   RabbitMQ     │          │</w:t>
      </w:r>
      <w:r>
        <w:br/>
      </w:r>
      <w:r>
        <w:rPr>
          <w:rStyle w:val="VerbatimChar"/>
        </w:rPr>
        <w:t xml:space="preserve">│  │ :8084     │   consume eventos      │   :5672:15672  │          │</w:t>
      </w:r>
      <w:r>
        <w:br/>
      </w:r>
      <w:r>
        <w:rPr>
          <w:rStyle w:val="VerbatimChar"/>
        </w:rPr>
        <w:t xml:space="preserve">│  └─────┬─────┘                       └────────────────┘          │</w:t>
      </w:r>
      <w:r>
        <w:br/>
      </w:r>
      <w:r>
        <w:rPr>
          <w:rStyle w:val="VerbatimChar"/>
        </w:rPr>
        <w:t xml:space="preserve">│        ↓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┌───────────┐                                                     │</w:t>
      </w:r>
      <w:r>
        <w:br/>
      </w:r>
      <w:r>
        <w:rPr>
          <w:rStyle w:val="VerbatimChar"/>
        </w:rPr>
        <w:t xml:space="preserve">│  │ PG Notif  │                                                     │</w:t>
      </w:r>
      <w:r>
        <w:br/>
      </w:r>
      <w:r>
        <w:rPr>
          <w:rStyle w:val="VerbatimChar"/>
        </w:rPr>
        <w:t xml:space="preserve">│  │ :5436     │                                                     │</w:t>
      </w:r>
      <w:r>
        <w:br/>
      </w:r>
      <w:r>
        <w:rPr>
          <w:rStyle w:val="VerbatimChar"/>
        </w:rPr>
        <w:t xml:space="preserve">│  └───────────┘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17"/>
    <w:bookmarkStart w:id="18" w:name="bounded-contexts"/>
    <w:p>
      <w:pPr>
        <w:pStyle w:val="Heading3"/>
      </w:pPr>
      <w:r>
        <w:rPr>
          <w:b/>
          <w:bCs/>
        </w:rPr>
        <w:t xml:space="preserve">3.2 Bounded Contexts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7"/>
        <w:gridCol w:w="1817"/>
        <w:gridCol w:w="1558"/>
        <w:gridCol w:w="27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Servicio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JWT, gestion usuarios/roles, validacion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Techos presupuestales, actividades POI, necesidades PAP, saldos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expedientes, documentos, seguimiento de estados, publica eventos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 eventos RabbitMQ, crea/consulta notificaciones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api-gateway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unico de entrada, filtro JWT global, ruteo a servicios</w:t>
            </w:r>
          </w:p>
        </w:tc>
      </w:tr>
    </w:tbl>
    <w:bookmarkEnd w:id="18"/>
    <w:bookmarkStart w:id="19" w:name="comunicacion"/>
    <w:p>
      <w:pPr>
        <w:pStyle w:val="Heading3"/>
      </w:pPr>
      <w:r>
        <w:rPr>
          <w:b/>
          <w:bCs/>
        </w:rPr>
        <w:t xml:space="preserve">3.3 Comunicacion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42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→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REST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→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REST via Feign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Asincrona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 → notificacion-service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AMQP (RabbitMQ)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→ Eureka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(Service Discovery)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5" w:name="clean-architecture-por-servicio"/>
    <w:p>
      <w:pPr>
        <w:pStyle w:val="Heading2"/>
      </w:pPr>
      <w:r>
        <w:rPr>
          <w:b/>
          <w:bCs/>
        </w:rPr>
        <w:t xml:space="preserve">4. Clean Architecture por Servicio</w:t>
      </w:r>
    </w:p>
    <w:p>
      <w:pPr>
        <w:pStyle w:val="FirstParagraph"/>
      </w:pPr>
      <w:r>
        <w:drawing>
          <wp:inline>
            <wp:extent cx="5753100" cy="974938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as/component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749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Cada servicio implementa</w:t>
      </w:r>
      <w:r>
        <w:t xml:space="preserve"> </w:t>
      </w:r>
      <w:r>
        <w:rPr>
          <w:b/>
          <w:bCs/>
        </w:rPr>
        <w:t xml:space="preserve">4 capas concentricas</w:t>
      </w:r>
      <w:r>
        <w:t xml:space="preserve"> </w:t>
      </w:r>
      <w:r>
        <w:t xml:space="preserve">con dependencias hacia adentro: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88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Entidades JPA, Enums, Value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dependencias externas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(</w:t>
            </w:r>
            <w:r>
              <w:t xml:space="preserve">@Service</w:t>
            </w:r>
            <w:r>
              <w:t xml:space="preserve">,</w:t>
            </w:r>
            <w:r>
              <w:t xml:space="preserve"> </w:t>
            </w:r>
            <w:r>
              <w:t xml:space="preserve">@Transactional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de uso, logica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Adapters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Controllers (</w:t>
            </w:r>
            <w:r>
              <w:t xml:space="preserve">@RestController</w:t>
            </w:r>
            <w:r>
              <w:t xml:space="preserve">), Repositorios (interfaces JPA), DTOs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 HTTP ↔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application.properties, Config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Boot, PostgreSQL, RabbitMQ</w:t>
            </w:r>
          </w:p>
        </w:tc>
      </w:tr>
    </w:tbl>
    <w:bookmarkStart w:id="24" w:name="ejemplo-expediente-service"/>
    <w:p>
      <w:pPr>
        <w:pStyle w:val="Heading3"/>
      </w:pPr>
      <w:r>
        <w:rPr>
          <w:b/>
          <w:bCs/>
        </w:rPr>
        <w:t xml:space="preserve">4.1 Ejemplo: expediente-service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Expediente.java, SeguimientoLog.java, DocumentoAdjunto.java, EstadoExpediente.java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ExpedienteService.java, BusinessRulesService.java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Adapters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ApiExpedienteController.java, ExpedienteRepository.java, CambiarEstadoDTO.java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application.properties, RabbitMQConfig.java, FeignConfig.java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principios-solid-aplicados"/>
    <w:p>
      <w:pPr>
        <w:pStyle w:val="Heading2"/>
      </w:pPr>
      <w:r>
        <w:rPr>
          <w:b/>
          <w:bCs/>
        </w:rPr>
        <w:t xml:space="preserve">5. Principios SOLID Aplicados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1"/>
        <w:gridCol w:w="57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Principio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Aplicacion en SISEXP Microservicios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— Single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servicio = 1 bounded context. auth-service solo autentica, presupuesto-service solo gestiona presupuestos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— Open/Closed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 a extension via RabbitMQ (nuevos consumidores sin modificar productores). Cerrado a modificacion (despliegue independiente)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— Liskov Substitution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JpaRepository&lt;T, ID&gt; → Spring Data proxies sustituibles. UserDetailsService → CustomUserDetailsService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— Interface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servicio expone solo los endpoints de su bounded context. Ninguno expone operaciones de otros contextos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Dependency Inversion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dependen de interfaces de repositorio (no implementaciones). Feign clients abstraen llamadas HTTP. Gateway rutea por service-id (Eureka)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atrones-arquitectonicos"/>
    <w:p>
      <w:pPr>
        <w:pStyle w:val="Heading2"/>
      </w:pPr>
      <w:r>
        <w:rPr>
          <w:b/>
          <w:bCs/>
        </w:rPr>
        <w:t xml:space="preserve">6. Patrones Arquitectonicos</w:t>
      </w:r>
    </w:p>
    <w:bookmarkStart w:id="27" w:name="estructurales"/>
    <w:p>
      <w:pPr>
        <w:pStyle w:val="Heading3"/>
      </w:pPr>
      <w:r>
        <w:rPr>
          <w:b/>
          <w:bCs/>
        </w:rPr>
        <w:t xml:space="preserve">6.1 Estructurales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436"/>
        <w:gridCol w:w="406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Patron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Implementacion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→ Service → Repository → Domain en cada microservicio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SPA (cliente) → Spring Boot REST (servidor)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Pipe-Filter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filter chain: JWT validation → Routing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MVC REST controllers en cada servicio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Microservicios con contratos REST bien definidos</w:t>
            </w:r>
          </w:p>
        </w:tc>
      </w:tr>
    </w:tbl>
    <w:bookmarkEnd w:id="27"/>
    <w:bookmarkStart w:id="28" w:name="comunicacion-y-datos"/>
    <w:p>
      <w:pPr>
        <w:pStyle w:val="Heading3"/>
      </w:pPr>
      <w:r>
        <w:rPr>
          <w:b/>
          <w:bCs/>
        </w:rPr>
        <w:t xml:space="preserve">6.2 Comunicacion y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436"/>
        <w:gridCol w:w="406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Patron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Implementacion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 (:8080) — ruteo JWT + load-balanced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 Server (:8761) — 4 servicios registrados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 — eventos de dominio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Publish-Subscribe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 publica → notificacion-service consume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per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PostgreSQL independientes (:5433-5436)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Saga (Coreografia)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Eventos RabbitMQ coordinan consistencia eventual</w:t>
            </w:r>
          </w:p>
        </w:tc>
      </w:tr>
    </w:tbl>
    <w:bookmarkEnd w:id="28"/>
    <w:bookmarkStart w:id="29" w:name="resiliencia"/>
    <w:p>
      <w:pPr>
        <w:pStyle w:val="Heading3"/>
      </w:pPr>
      <w:r>
        <w:rPr>
          <w:b/>
          <w:bCs/>
        </w:rPr>
        <w:t xml:space="preserve">6.3 Resiliencia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436"/>
        <w:gridCol w:w="406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Patron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Implementacion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Resilience4j en llamadas REST inter-servicio (Feign)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Retry en RestTemplate con backoff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Actuator /actuator/health en cada servicio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patrones-de-diseno-gof"/>
    <w:p>
      <w:pPr>
        <w:pStyle w:val="Heading2"/>
      </w:pPr>
      <w:r>
        <w:rPr>
          <w:b/>
          <w:bCs/>
        </w:rPr>
        <w:t xml:space="preserve">7. Patrones de Diseno GoF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900"/>
        <w:gridCol w:w="44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Patron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Donde se usa en SISEXP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Beans Spring (</w:t>
            </w:r>
            <w:r>
              <w:t xml:space="preserve">@Service</w:t>
            </w:r>
            <w:r>
              <w:t xml:space="preserve">,</w:t>
            </w:r>
            <w:r>
              <w:t xml:space="preserve"> </w:t>
            </w:r>
            <w:r>
              <w:t xml:space="preserve">@Repository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RabbitConnectionFactory, DataSourceBuilder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ExpedienteDTO.builder(), JwtTokenProvider.buildToken()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JwtAuthenticationFilter adapta JWT a Spring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Resilience4j</w:t>
            </w:r>
            <w:r>
              <w:t xml:space="preserve"> </w:t>
            </w:r>
            <w:r>
              <w:t xml:space="preserve">@CircuitBreaker</w:t>
            </w:r>
            <w:r>
              <w:t xml:space="preserve"> </w:t>
            </w:r>
            <w:r>
              <w:t xml:space="preserve">sobre llamadas Feign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ExpedienteService como fachada ante 3 repositorios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AOP:</w:t>
            </w:r>
            <w:r>
              <w:t xml:space="preserve"> </w:t>
            </w:r>
            <w:r>
              <w:t xml:space="preserve">@Transactional</w:t>
            </w:r>
            <w:r>
              <w:t xml:space="preserve">,</w:t>
            </w:r>
            <w:r>
              <w:t xml:space="preserve"> </w:t>
            </w:r>
            <w:r>
              <w:t xml:space="preserve">@Cacheable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@RabbitListener</w:t>
            </w:r>
            <w:r>
              <w:t xml:space="preserve"> </w:t>
            </w:r>
            <w:r>
              <w:t xml:space="preserve">en notificacion-service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JdbcTemplate, RestTemplate, RabbitTemplate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BusinessRulesService.ejecutarSaldo() por Naturaleza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of Resp.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en Gateway: JWT → Rate Limit →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CambiarEstadoDTO + cambiarEstado()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despliegue-docker-compose"/>
    <w:p>
      <w:pPr>
        <w:pStyle w:val="Heading2"/>
      </w:pPr>
      <w:r>
        <w:rPr>
          <w:b/>
          <w:bCs/>
        </w:rPr>
        <w:t xml:space="preserve">8. Despliegue — Docker Compose</w:t>
      </w:r>
    </w:p>
    <w:bookmarkStart w:id="32" w:name="contenedores-12"/>
    <w:p>
      <w:pPr>
        <w:pStyle w:val="Heading3"/>
      </w:pPr>
      <w:r>
        <w:rPr>
          <w:b/>
          <w:bCs/>
        </w:rPr>
        <w:t xml:space="preserve">8.1 Contenedores (12)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8"/>
        <w:gridCol w:w="1558"/>
        <w:gridCol w:w="1558"/>
        <w:gridCol w:w="1558"/>
        <w:gridCol w:w="23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Imagen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Health Check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nginx:alpine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wget /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sisexp-api-gateway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sisexp-eureka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wget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sisexp-auth-service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sisexp-presupuesto-service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sisexp-expediente-service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sisexp-notificacion-service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sisexp-auth-db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pg_isready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sisexp-presupuesto-db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pg_isready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sisexp-expediente-db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pg_isready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sisexp-notificacion-db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pg_isready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sisexp-rabbitmq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rabbitmq:3-management-alpine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5672, 15672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rabbitmq-diagnostics</w:t>
            </w:r>
          </w:p>
        </w:tc>
      </w:tr>
    </w:tbl>
    <w:bookmarkEnd w:id="32"/>
    <w:bookmarkStart w:id="33" w:name="orden-de-arranque"/>
    <w:p>
      <w:pPr>
        <w:pStyle w:val="Heading3"/>
      </w:pPr>
      <w:r>
        <w:rPr>
          <w:b/>
          <w:bCs/>
        </w:rPr>
        <w:t xml:space="preserve">8.2 Orden de Arranque</w:t>
      </w:r>
    </w:p>
    <w:p>
      <w:pPr>
        <w:pStyle w:val="SourceCode"/>
      </w:pPr>
      <w:r>
        <w:rPr>
          <w:rStyle w:val="VerbatimChar"/>
        </w:rPr>
        <w:t xml:space="preserve">1. Infrastructure: 4 PostgreSQL + RabbitMQ + Eureka</w:t>
      </w:r>
      <w:r>
        <w:br/>
      </w:r>
      <w:r>
        <w:rPr>
          <w:rStyle w:val="VerbatimChar"/>
        </w:rPr>
        <w:t xml:space="preserve">2. Servicios: auth-service, presupuesto-service</w:t>
      </w:r>
      <w:r>
        <w:br/>
      </w:r>
      <w:r>
        <w:rPr>
          <w:rStyle w:val="VerbatimChar"/>
        </w:rPr>
        <w:t xml:space="preserve">3. Servicios (dependen de RabbitMQ): expediente-service, notificacion-service</w:t>
      </w:r>
      <w:r>
        <w:br/>
      </w:r>
      <w:r>
        <w:rPr>
          <w:rStyle w:val="VerbatimChar"/>
        </w:rPr>
        <w:t xml:space="preserve">4. Gateway: api-gateway</w:t>
      </w:r>
      <w:r>
        <w:br/>
      </w:r>
      <w:r>
        <w:rPr>
          <w:rStyle w:val="VerbatimChar"/>
        </w:rPr>
        <w:t xml:space="preserve">5. Frontend: nginx</w:t>
      </w:r>
    </w:p>
    <w:bookmarkEnd w:id="33"/>
    <w:bookmarkStart w:id="34" w:name="comandos"/>
    <w:p>
      <w:pPr>
        <w:pStyle w:val="Heading3"/>
      </w:pPr>
      <w:r>
        <w:rPr>
          <w:b/>
          <w:bCs/>
        </w:rPr>
        <w:t xml:space="preserve">8.3 Comandos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sisexp-microservicios</w:t>
      </w:r>
      <w:r>
        <w:br/>
      </w:r>
      <w:r>
        <w:br/>
      </w:r>
      <w:r>
        <w:rPr>
          <w:rStyle w:val="CommentTok"/>
        </w:rPr>
        <w:t xml:space="preserve"># Construir todas las imagenes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</w:t>
      </w:r>
      <w:r>
        <w:br/>
      </w:r>
      <w:r>
        <w:br/>
      </w:r>
      <w:r>
        <w:rPr>
          <w:rStyle w:val="CommentTok"/>
        </w:rPr>
        <w:t xml:space="preserve"># Iniciar todos los servicios en background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Ver estado de los contenedores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 xml:space="preserve"># Ver logs de un servicio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auth-service</w:t>
      </w:r>
      <w:r>
        <w:br/>
      </w:r>
      <w:r>
        <w:br/>
      </w:r>
      <w:r>
        <w:rPr>
          <w:rStyle w:val="CommentTok"/>
        </w:rPr>
        <w:t xml:space="preserve"># Detener todo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monitoreo-en-tiempo-real"/>
    <w:p>
      <w:pPr>
        <w:pStyle w:val="Heading2"/>
      </w:pPr>
      <w:r>
        <w:rPr>
          <w:b/>
          <w:bCs/>
        </w:rPr>
        <w:t xml:space="preserve">9. Monitoreo en Tiempo Real</w:t>
      </w:r>
    </w:p>
    <w:p>
      <w:pPr>
        <w:pStyle w:val="FirstParagraph"/>
      </w:pPr>
      <w:r>
        <w:t xml:space="preserve">El dashboard de monitoreo esta en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(servido por NGINX):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nodos</w:t>
      </w:r>
      <w:r>
        <w:t xml:space="preserve"> </w:t>
      </w:r>
      <w:r>
        <w:t xml:space="preserve">visualizados con iconos, puertos y tecnologias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 en vivo</w:t>
      </w:r>
      <w:r>
        <w:t xml:space="preserve">: poll-ea</w:t>
      </w:r>
      <w:r>
        <w:t xml:space="preserve"> 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cada 5 segundos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Indicadores</w:t>
      </w:r>
      <w:r>
        <w:t xml:space="preserve">: verde = UP, amarillo = STARTING, rojo = DOWN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Click en nodo</w:t>
      </w:r>
      <w:r>
        <w:t xml:space="preserve">: muestra componentes (db, rabbit, disk, ping, ssl)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Boton Pausar/Reanudar</w:t>
      </w:r>
      <w:r>
        <w:t xml:space="preserve">: detiene el polling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Boton Sondear Ahora</w:t>
      </w:r>
      <w:r>
        <w:t xml:space="preserve">: consulta inmediata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Header</w:t>
      </w:r>
      <w:r>
        <w:t xml:space="preserve">: UP/DOWN count + latencia en 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Resumen</w:t>
      </w:r>
      <w:r>
        <w:t xml:space="preserve">:</w:t>
      </w:r>
      <w:r>
        <w:t xml:space="preserve"> </w:t>
      </w:r>
      <w:r>
        <w:t xml:space="preserve">“Todo Healthy”</w:t>
      </w:r>
      <w:r>
        <w:t xml:space="preserve"> </w:t>
      </w:r>
      <w:r>
        <w:t xml:space="preserve">/</w:t>
      </w:r>
      <w:r>
        <w:t xml:space="preserve"> </w:t>
      </w:r>
      <w:r>
        <w:t xml:space="preserve">“Problemas Detectados”</w:t>
      </w:r>
    </w:p>
    <w:p>
      <w:r>
        <w:pict>
          <v:rect style="width:0;height:1.5pt" o:hralign="center" o:hrstd="t" o:hr="t"/>
        </w:pict>
      </w:r>
    </w:p>
    <w:bookmarkEnd w:id="36"/>
    <w:bookmarkStart w:id="37" w:name="endpoint-apistatus"/>
    <w:p>
      <w:pPr>
        <w:pStyle w:val="Heading2"/>
      </w:pPr>
      <w:r>
        <w:rPr>
          <w:b/>
          <w:bCs/>
        </w:rPr>
        <w:t xml:space="preserve">10. Endpoint /api/status</w:t>
      </w:r>
    </w:p>
    <w:p>
      <w:pPr>
        <w:pStyle w:val="FirstParagraph"/>
      </w:pPr>
      <w:r>
        <w:rPr>
          <w:b/>
          <w:bCs/>
        </w:rPr>
        <w:t xml:space="preserve">GET /api/status</w:t>
      </w:r>
      <w:r>
        <w:t xml:space="preserve"> </w:t>
      </w:r>
      <w:r>
        <w:t xml:space="preserve">(publico, sin autenticacion)</w:t>
      </w:r>
    </w:p>
    <w:p>
      <w:pPr>
        <w:pStyle w:val="BodyText"/>
      </w:pPr>
      <w:r>
        <w:t xml:space="preserve">Respuesta de ejemplo con los 4 servicios UP: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"58e2221c1a43"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"discoveryComposite"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"diskSpace"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"ssl"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"PRESUPUESTO-SERVICE"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"41feeee35265"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"discoveryComposite"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"diskSpace"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"ssl"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"EXPEDIENTE-SERVICE"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"1420ea9ecd60"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"rabbit"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"discoveryComposite"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"diskSpace"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"ssl"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"NOTIFICACION-SERVICE"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"a5da0a34207c"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"rabbit"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"discoveryComposite"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"diskSpace"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"ssl"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"down"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"healthy"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1782844925013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Start w:id="38" w:name="acceso-publico-ngrok"/>
    <w:p>
      <w:pPr>
        <w:pStyle w:val="Heading2"/>
      </w:pPr>
      <w:r>
        <w:rPr>
          <w:b/>
          <w:bCs/>
        </w:rPr>
        <w:t xml:space="preserve">11. Acceso Publico — ngrok</w:t>
      </w:r>
    </w:p>
    <w:p>
      <w:pPr>
        <w:pStyle w:val="FirstParagraph"/>
      </w:pPr>
      <w:r>
        <w:t xml:space="preserve">Para exponer el sistema a internet durante la presentacion:</w:t>
      </w:r>
    </w:p>
    <w:p>
      <w:pPr>
        <w:pStyle w:val="SourceCode"/>
      </w:pPr>
      <w:r>
        <w:rPr>
          <w:rStyle w:val="CommentTok"/>
        </w:rPr>
        <w:t xml:space="preserve"># Instalar ngrok (una vez)</w:t>
      </w:r>
      <w:r>
        <w:br/>
      </w:r>
      <w:r>
        <w:rPr>
          <w:rStyle w:val="ExtensionTok"/>
        </w:rPr>
        <w:t xml:space="preserve">winget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ngrok.ngrok</w:t>
      </w:r>
      <w:r>
        <w:br/>
      </w:r>
      <w:r>
        <w:br/>
      </w:r>
      <w:r>
        <w:rPr>
          <w:rStyle w:val="CommentTok"/>
        </w:rPr>
        <w:t xml:space="preserve"># Configurar authtoken (una vez)</w:t>
      </w:r>
      <w:r>
        <w:br/>
      </w:r>
      <w:r>
        <w:rPr>
          <w:rStyle w:val="ExtensionTok"/>
        </w:rPr>
        <w:t xml:space="preserve">ngrok</w:t>
      </w:r>
      <w:r>
        <w:rPr>
          <w:rStyle w:val="NormalTok"/>
        </w:rPr>
        <w:t xml:space="preserve"> config add-authtoken TU_TOKEN</w:t>
      </w:r>
      <w:r>
        <w:br/>
      </w:r>
      <w:r>
        <w:br/>
      </w:r>
      <w:r>
        <w:rPr>
          <w:rStyle w:val="CommentTok"/>
        </w:rPr>
        <w:t xml:space="preserve"># Exponer localhost:80</w:t>
      </w:r>
      <w:r>
        <w:br/>
      </w:r>
      <w:r>
        <w:rPr>
          <w:rStyle w:val="ExtensionTok"/>
        </w:rPr>
        <w:t xml:space="preserve">ngrok</w:t>
      </w:r>
      <w:r>
        <w:rPr>
          <w:rStyle w:val="NormalTok"/>
        </w:rPr>
        <w:t xml:space="preserve"> http 80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https://7fbf-179-6-45-108.ngrok-free.app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 por reinicio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URL cambia cada vez que se reinicia ngrok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fija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plan pago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</w:t>
      </w:r>
      <w:r>
        <w:t xml:space="preserve">: Los visitantes que ingresan por ngrok Free veran una pagina de advertencia — deben hacer click en</w:t>
      </w:r>
      <w:r>
        <w:t xml:space="preserve"> </w:t>
      </w:r>
      <w:r>
        <w:t xml:space="preserve">“Visit Site”</w:t>
      </w:r>
      <w:r>
        <w:t xml:space="preserve"> </w:t>
      </w:r>
      <w:r>
        <w:t xml:space="preserve">para continuar.</w:t>
      </w:r>
    </w:p>
    <w:p>
      <w:r>
        <w:pict>
          <v:rect style="width:0;height:1.5pt" o:hralign="center" o:hrstd="t" o:hr="t"/>
        </w:pict>
      </w:r>
    </w:p>
    <w:bookmarkEnd w:id="38"/>
    <w:bookmarkStart w:id="39" w:name="api-reference"/>
    <w:p>
      <w:pPr>
        <w:pStyle w:val="Heading2"/>
      </w:pPr>
      <w:r>
        <w:rPr>
          <w:b/>
          <w:bCs/>
        </w:rPr>
        <w:t xml:space="preserve">12. API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Servicio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/api/actividades-poi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/api/necesidades-pap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/api/expedientes/{id}/estado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verificacion"/>
    <w:p>
      <w:pPr>
        <w:pStyle w:val="Heading2"/>
      </w:pPr>
      <w:r>
        <w:rPr>
          <w:b/>
          <w:bCs/>
        </w:rPr>
        <w:t xml:space="preserve">13. Verificacion</w:t>
      </w:r>
    </w:p>
    <w:p>
      <w:pPr>
        <w:pStyle w:val="SourceCode"/>
      </w:pPr>
      <w:r>
        <w:rPr>
          <w:rStyle w:val="CommentTok"/>
        </w:rPr>
        <w:t xml:space="preserve"># Salud de todos los servicios (via Gateway)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http://localhost:8080/api/status</w:t>
      </w:r>
      <w:r>
        <w:br/>
      </w:r>
      <w:r>
        <w:br/>
      </w:r>
      <w:r>
        <w:rPr>
          <w:rStyle w:val="CommentTok"/>
        </w:rPr>
        <w:t xml:space="preserve"># Salud individual de cada microservicio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http://localhost:8081/actuator/health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http://localhost:8082/actuator/health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http://localhost:8083/actuator/health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http://localhost:8084/actuator/health</w:t>
      </w:r>
      <w:r>
        <w:br/>
      </w:r>
      <w:r>
        <w:br/>
      </w:r>
      <w:r>
        <w:rPr>
          <w:rStyle w:val="CommentTok"/>
        </w:rPr>
        <w:t xml:space="preserve"># Eureka Dashboard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http://localhost:8761</w:t>
      </w:r>
      <w:r>
        <w:br/>
      </w:r>
      <w:r>
        <w:br/>
      </w:r>
      <w:r>
        <w:rPr>
          <w:rStyle w:val="CommentTok"/>
        </w:rPr>
        <w:t xml:space="preserve"># RabbitMQ Management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http://localhost:15672</w:t>
      </w:r>
      <w:r>
        <w:br/>
      </w:r>
      <w:r>
        <w:rPr>
          <w:rStyle w:val="CommentTok"/>
        </w:rPr>
        <w:t xml:space="preserve"># Credenciales: sisexp / sisexp</w:t>
      </w:r>
      <w:r>
        <w:br/>
      </w:r>
      <w:r>
        <w:br/>
      </w:r>
      <w:r>
        <w:rPr>
          <w:rStyle w:val="CommentTok"/>
        </w:rPr>
        <w:t xml:space="preserve"># Dashboard Monitoreo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generado: 30 de junio de 2026 — SISEXP-UPLA vFinal</w:t>
      </w:r>
    </w:p>
    <w:bookmarkEnd w:id="40"/>
    <w:bookmarkEnd w:id="41"/>
    <w:sectPr w:rsidR="00FC693F" w:rsidRPr="0006063C" w:rsidSect="00034616"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</w:pPr>
    <w:rPr>
      <w:rFonts w:ascii="Calibri" w:hAnsi="Calibri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480" w:line="276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360" w:line="276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66666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120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4E79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0"/>
      <w:jc w:val="center"/>
    </w:pPr>
    <w:rPr>
      <w:rFonts w:ascii="Calibri" w:asciiTheme="majorHAnsi" w:cstheme="majorBidi" w:eastAsiaTheme="majorEastAsia" w:hAnsi="Calibri" w:hAnsiTheme="majorHAnsi"/>
      <w:i/>
      <w:iCs/>
      <w:color w:val="2E75B6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tblPr>
      <w:tblBorders>
        <w:top w:color="2E75B6" w:space="0" w:sz="4" w:val="single"/>
        <w:left w:color="2E75B6" w:space="0" w:sz="4" w:val="single"/>
        <w:bottom w:color="2E75B6" w:space="0" w:sz="4" w:val="single"/>
        <w:right w:color="2E75B6" w:space="0" w:sz="4" w:val="single"/>
        <w:insideH w:color="999999" w:space="0" w:sz="4" w:val="single"/>
        <w:insideV w:color="999999" w:space="0" w:sz="4" w:val="single"/>
      </w:tblBorders>
    </w:tblPr>
    <w:tblStylePr w:type="firstRow">
      <w:rPr>
        <w:b/>
        <w:color w:val="FFFFFF"/>
        <w:rFonts w:ascii="Calibri" w:hAnsi="Calibri"/>
        <w:sz w:val="22"/>
      </w:rPr>
      <w:tcPr>
        <w:shd w:color="auto" w:fill="2E75B6" w:val="clear"/>
      </w:tcPr>
    </w:tblStylePr>
  </w:style>
  <w:style w:customStyle="1" w:styleId="TableHeader" w:type="paragraph">
    <w:name w:val="Table Header"/>
    <w:rPr>
      <w:rFonts w:ascii="Calibri" w:hAnsi="Calibri"/>
      <w:b/>
      <w:color w:val="FFFFFF"/>
      <w:sz w:val="20"/>
    </w:rPr>
  </w:style>
  <w:style w:customStyle="1" w:styleId="Compact" w:type="paragraph">
    <w:name w:val="Compact"/>
    <w:pPr>
      <w:spacing w:after="40" w:before="40"/>
    </w:pPr>
    <w:rPr>
      <w:rFonts w:ascii="Calibri" w:hAnsi="Calibri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SISEXP-UPLA — Arquitectura de Microservicios</dc:title>
  <dc:creator/>
  <dc:language>es</dc:language>
  <cp:keywords/>
  <dcterms:created xsi:type="dcterms:W3CDTF">2026-07-13T04:25:04Z</dcterms:created>
  <dcterms:modified xsi:type="dcterms:W3CDTF">2026-07-13T04:25:04Z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Universidad Peruana Los Andes — Arquitectura de Software — VIII Ciclo — 2026</vt:lpwstr>
  </property>
</Properties>
</file>