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Arquitectura Global ICONIX</w:t>
      </w:r>
    </w:p>
    <w:p>
      <w:pPr>
        <w:pStyle w:val="Subtitle"/>
      </w:pPr>
      <w:r>
        <w:t xml:space="preserve">Diagramas de Arquitectura de Microservicios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sisexp-upla-arquitectura-global"/>
    <w:p>
      <w:pPr>
        <w:pStyle w:val="Heading1"/>
      </w:pPr>
      <w:r>
        <w:rPr>
          <w:b/>
          <w:bCs/>
        </w:rPr>
        <w:t xml:space="preserve">SISEXP-UPLA — Arquitectura Global</w:t>
      </w:r>
    </w:p>
    <w:p>
      <w:pPr>
        <w:pStyle w:val="FirstParagraph"/>
      </w:pPr>
      <w:r>
        <w:t xml:space="preserve">Documentacion de los 3 diagramas de arquitectura global del sistema SISEXP-UPLA.</w:t>
      </w:r>
    </w:p>
    <w:p>
      <w:r>
        <w:pict>
          <v:rect style="width:0;height:1.5pt" o:hralign="center" o:hrstd="t" o:hr="t"/>
        </w:pict>
      </w:r>
    </w:p>
    <w:bookmarkStart w:id="15" w:name="X7ee92db9a1db08ff9ac90af377795442f1bad2d"/>
    <w:p>
      <w:pPr>
        <w:pStyle w:val="Heading2"/>
      </w:pPr>
      <w:r>
        <w:rPr>
          <w:b/>
          <w:bCs/>
        </w:rPr>
        <w:t xml:space="preserve">1. Diagrama de Arquitectura de Microservicios</w:t>
      </w:r>
    </w:p>
    <w:p>
      <w:pPr>
        <w:pStyle w:val="CaptionedFigure"/>
      </w:pPr>
      <w:r>
        <w:drawing>
          <wp:inline>
            <wp:extent cx="5753100" cy="3994333"/>
            <wp:effectExtent b="0" l="0" r="0" t="0"/>
            <wp:docPr descr="Arquitectura de Microservicios" title="" id="10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de Microservicios</w:t>
      </w:r>
    </w:p>
    <w:p>
      <w:pPr>
        <w:pStyle w:val="BodyText"/>
      </w:pPr>
      <w:r>
        <w:t xml:space="preserve">12 contenedores Docker Compose con 4 bases de datos PostgreSQL independientes, 4 microservicios Spring Boot, API Gateway, Eureka Server, RabbitMQ y NGINX como proxy inverso + servidor de la SPA React.</w:t>
      </w:r>
    </w:p>
    <w:bookmarkStart w:id="12" w:name="topologia-de-red"/>
    <w:p>
      <w:pPr>
        <w:pStyle w:val="Heading3"/>
      </w:pPr>
      <w:r>
        <w:t xml:space="preserve">Topologia de red</w:t>
      </w:r>
    </w:p>
    <w:p>
      <w:pPr>
        <w:pStyle w:val="SourceCode"/>
      </w:pPr>
      <w:r>
        <w:rPr>
          <w:rStyle w:val="VerbatimChar"/>
        </w:rPr>
        <w:t xml:space="preserve">Browser (http://localhost:80)</w:t>
      </w:r>
      <w:r>
        <w:br/>
      </w:r>
      <w:r>
        <w:rPr>
          <w:rStyle w:val="VerbatimChar"/>
        </w:rPr>
        <w:t xml:space="preserve">  → NGINX (:80) — React SPA + proxy /api/*</w:t>
      </w:r>
      <w:r>
        <w:br/>
      </w:r>
      <w:r>
        <w:rPr>
          <w:rStyle w:val="VerbatimChar"/>
        </w:rPr>
        <w:t xml:space="preserve">    → API Gateway (:8080) — JWT + CORS + ActivityLog + Monitor</w:t>
      </w:r>
      <w:r>
        <w:br/>
      </w:r>
      <w:r>
        <w:rPr>
          <w:rStyle w:val="VerbatimChar"/>
        </w:rPr>
        <w:t xml:space="preserve">      ├── AUTH-SERVICE (:8081) ──── auth-db (:5433)</w:t>
      </w:r>
      <w:r>
        <w:br/>
      </w:r>
      <w:r>
        <w:rPr>
          <w:rStyle w:val="VerbatimChar"/>
        </w:rPr>
        <w:t xml:space="preserve">      ├── PRESUPUESTO-SERVICE (:8082) ──── presupuesto-db (:5434)</w:t>
      </w:r>
      <w:r>
        <w:br/>
      </w:r>
      <w:r>
        <w:rPr>
          <w:rStyle w:val="VerbatimChar"/>
        </w:rPr>
        <w:t xml:space="preserve">      ├── EXPEDIENTE-SERVICE (:8083) ──── expediente-db (:5435)</w:t>
      </w:r>
      <w:r>
        <w:br/>
      </w:r>
      <w:r>
        <w:rPr>
          <w:rStyle w:val="VerbatimChar"/>
        </w:rPr>
        <w:t xml:space="preserve">      │     └── RabbitMQ (:5672)</w:t>
      </w:r>
      <w:r>
        <w:br/>
      </w:r>
      <w:r>
        <w:rPr>
          <w:rStyle w:val="VerbatimChar"/>
        </w:rPr>
        <w:t xml:space="preserve">      │           └── NOTIFICACION-SERVICE (:8084) ──── notificacion-db (:5436)</w:t>
      </w:r>
      <w:r>
        <w:br/>
      </w:r>
      <w:r>
        <w:rPr>
          <w:rStyle w:val="VerbatimChar"/>
        </w:rPr>
        <w:t xml:space="preserve">      └── EUREKA (:8761) ← registran todos los servicios</w:t>
      </w:r>
    </w:p>
    <w:bookmarkEnd w:id="12"/>
    <w:bookmarkStart w:id="13" w:name="tipos-de-conexiones"/>
    <w:p>
      <w:pPr>
        <w:pStyle w:val="Heading3"/>
      </w:pPr>
      <w:r>
        <w:t xml:space="preserve">Tipos de conexiones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308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Solida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→ gateway →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Punteada naranja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→ Eureka (registro/heartbeat)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Segmentada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→ bases de datos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Punteada morada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→ RabbitMQ → Notificacion</w:t>
            </w:r>
          </w:p>
        </w:tc>
      </w:tr>
    </w:tbl>
    <w:bookmarkEnd w:id="13"/>
    <w:bookmarkStart w:id="14" w:name="contenedores"/>
    <w:p>
      <w:pPr>
        <w:pStyle w:val="Heading3"/>
      </w:pPr>
      <w:r>
        <w:t xml:space="preserve">Contenedores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484"/>
        <w:gridCol w:w="1863"/>
        <w:gridCol w:w="2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Contenedor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sisexp-nginx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 + React 19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 + JwtAuthFilter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sisexp-eureka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Netflix Eureka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+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+ PostgreSQL + Apache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+ PostgreSQL +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+ PostgreSQL +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 (auth_db)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 (presupuesto_db)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 (expediente_db)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 (notific_db)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sisexp-rabbitmq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rabbitmq:3-management-alpine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diagrama-de-componentes"/>
    <w:p>
      <w:pPr>
        <w:pStyle w:val="Heading2"/>
      </w:pPr>
      <w:r>
        <w:rPr>
          <w:b/>
          <w:bCs/>
        </w:rPr>
        <w:t xml:space="preserve">2. Diagrama de Componentes</w:t>
      </w:r>
    </w:p>
    <w:p>
      <w:pPr>
        <w:pStyle w:val="CaptionedFigure"/>
      </w:pPr>
      <w:r>
        <w:drawing>
          <wp:inline>
            <wp:extent cx="5753100" cy="9749380"/>
            <wp:effectExtent b="0" l="0" r="0" t="0"/>
            <wp:docPr descr="Diagrama de Componentes" title="" id="17" name="Picture"/>
            <a:graphic>
              <a:graphicData uri="http://schemas.openxmlformats.org/drawingml/2006/picture">
                <pic:pic>
                  <pic:nvPicPr>
                    <pic:cNvPr descr="diagramas/componen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749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Componentes</w:t>
      </w:r>
    </w:p>
    <w:p>
      <w:pPr>
        <w:pStyle w:val="BodyText"/>
      </w:pPr>
      <w:r>
        <w:t xml:space="preserve">Cada microservicio implementa la misma estructura de capas Clean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582"/>
        <w:gridCol w:w="3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Anotacion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 peticiones HTTP, validar input, retornar DTOs/JSON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t xml:space="preserve">@Transactional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 de negocio, reglas de validacion, orquestacion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datos, queries JPQL/nativas, paginacion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Model/Entity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  <w:r>
              <w:t xml:space="preserve">,</w:t>
            </w:r>
            <w:r>
              <w:t xml:space="preserve"> </w:t>
            </w:r>
            <w:r>
              <w:t xml:space="preserve">@Table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objeto-relacional (JPA/Hibernate)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Beans, DataInitializer (seed), GlobalExceptionHandler, RestTemplate, RabbitMQ</w:t>
            </w:r>
          </w:p>
        </w:tc>
      </w:tr>
    </w:tbl>
    <w:bookmarkStart w:id="19" w:name="sisexp-common-jar-compartido"/>
    <w:p>
      <w:pPr>
        <w:pStyle w:val="Heading3"/>
      </w:pPr>
      <w:r>
        <w:t xml:space="preserve">sisexp-common (JAR compartido)</w:t>
      </w:r>
    </w:p>
    <w:p>
      <w:pPr>
        <w:pStyle w:val="FirstParagraph"/>
      </w:pPr>
      <w:r>
        <w:t xml:space="preserve">Libreria interna importada por los 4 microservicios: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enums compartidos (EstadoExpediente, Urgencia, Naturaleza, TipoNota, EstadoNota, TipoDocumento, EstadoActividad, TipoNotificacion, RolUsuario)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DTOs para transferencia entre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EnumUtils (parseSafe para evitar IllegalArgumentException)</w:t>
            </w:r>
          </w:p>
        </w:tc>
      </w:tr>
    </w:tbl>
    <w:bookmarkEnd w:id="19"/>
    <w:bookmarkStart w:id="20" w:name="capas-por-tecnologia"/>
    <w:p>
      <w:pPr>
        <w:pStyle w:val="Heading3"/>
      </w:pPr>
      <w:r>
        <w:t xml:space="preserve">Capas por tecnologia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1115"/>
        <w:gridCol w:w="1896"/>
        <w:gridCol w:w="1784"/>
        <w:gridCol w:w="20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+ JWT +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 + Exception + DataInit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+ RestTemplate + Exception + DataInit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+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diagrama-de-despliegue"/>
    <w:p>
      <w:pPr>
        <w:pStyle w:val="Heading2"/>
      </w:pPr>
      <w:r>
        <w:rPr>
          <w:b/>
          <w:bCs/>
        </w:rPr>
        <w:t xml:space="preserve">3. Diagrama de Despliegue</w:t>
      </w:r>
    </w:p>
    <w:p>
      <w:pPr>
        <w:pStyle w:val="CaptionedFigure"/>
      </w:pPr>
      <w:r>
        <w:drawing>
          <wp:inline>
            <wp:extent cx="5753100" cy="776547"/>
            <wp:effectExtent b="0" l="0" r="0" t="0"/>
            <wp:docPr descr="Diagrama de Despliegue" title="" id="23" name="Picture"/>
            <a:graphic>
              <a:graphicData uri="http://schemas.openxmlformats.org/drawingml/2006/picture">
                <pic:pic>
                  <pic:nvPicPr>
                    <pic:cNvPr descr="diagramas/desplieg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7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Despliegue</w:t>
      </w:r>
    </w:p>
    <w:bookmarkStart w:id="25" w:name="entornos"/>
    <w:p>
      <w:pPr>
        <w:pStyle w:val="Heading3"/>
      </w:pPr>
      <w:r>
        <w:t xml:space="preserve">Entornos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754"/>
        <w:gridCol w:w="2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Produccion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(PaaS, proyecto</w:t>
            </w:r>
            <w:r>
              <w:t xml:space="preserve"> </w:t>
            </w:r>
            <w:r>
              <w:rPr>
                <w:rStyle w:val="VerbatimChar"/>
              </w:rPr>
              <w:t xml:space="preserve">38350e4a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servicios: API Gateway (:8080), Eureka (:8761), 4 microservicios, 4 DBs PostgreSQL,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Produccion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(CDN 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SPA desde</w:t>
            </w:r>
            <w:r>
              <w:t xml:space="preserve"> </w:t>
            </w:r>
            <w:r>
              <w:rPr>
                <w:rStyle w:val="VerbatimChar"/>
              </w:rPr>
              <w:t xml:space="preserve">frontend-ivory-nine-43.vercel.app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Desarrollo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(Windows/Linux)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contenedores en red</w:t>
            </w:r>
            <w:r>
              <w:t xml:space="preserve"> </w:t>
            </w:r>
            <w:r>
              <w:rPr>
                <w:rStyle w:val="VerbatimChar"/>
              </w:rPr>
              <w:t xml:space="preserve">sisexp-net</w:t>
            </w:r>
          </w:p>
        </w:tc>
      </w:tr>
    </w:tbl>
    <w:bookmarkEnd w:id="25"/>
    <w:bookmarkStart w:id="26" w:name="railway-variables-criticas-por-servicio"/>
    <w:p>
      <w:pPr>
        <w:pStyle w:val="Heading3"/>
      </w:pPr>
      <w:r>
        <w:t xml:space="preserve">Railway — Variables criticas por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2843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http://sisexp-upla-springboot.railway.internal:8761/eureka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auth-service.railway.internal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jdbc:postgresql://auth-db.railway.internal:5432/auth_db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presupuesto-service.railway.internal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jdbc:postgresql://presupuesto-db.railway.internal:5432/presupuesto_db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heartfelt-wonder.railway.internal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jdbc:postgresql://expediente-db.railway.internal:5432/expediente_db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SPRING_RABBITMQ_HOST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rabbitmq.railway.internal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http://presupuesto-service.railway.internal:8082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notificacion-service.railway.internal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jdbc:postgresql://notificacion-db.railway.internal:5432/notific_db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SPRING_RABBITMQ_HOST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rabbitmq.railway.internal</w:t>
            </w:r>
          </w:p>
        </w:tc>
      </w:tr>
    </w:tbl>
    <w:bookmarkEnd w:id="26"/>
    <w:bookmarkStart w:id="27" w:name="vercel-deteccion-de-entorno"/>
    <w:p>
      <w:pPr>
        <w:pStyle w:val="Heading3"/>
      </w:pPr>
      <w:r>
        <w:t xml:space="preserve">Vercel — Deteccion de entorno</w:t>
      </w:r>
    </w:p>
    <w:p>
      <w:pPr>
        <w:pStyle w:val="SourceCode"/>
      </w:pPr>
      <w:r>
        <w:rPr>
          <w:rStyle w:val="CommentTok"/>
        </w:rPr>
        <w:t xml:space="preserve">// public/config.js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(localhost) →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nginx → gateway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→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"https://api-gateway-production-e01a.up.railway.app/api"</w:t>
      </w:r>
    </w:p>
    <w:bookmarkEnd w:id="27"/>
    <w:bookmarkStart w:id="28" w:name="docker-compose-local"/>
    <w:p>
      <w:pPr>
        <w:pStyle w:val="Heading3"/>
      </w:pPr>
      <w:r>
        <w:t xml:space="preserve">Docker Compose local</w:t>
      </w:r>
    </w:p>
    <w:p>
      <w:pPr>
        <w:pStyle w:val="SourceCode"/>
      </w:pPr>
      <w:r>
        <w:rPr>
          <w:rStyle w:val="CommentTok"/>
        </w:rPr>
        <w:t xml:space="preserve"># Construir y levantar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Smoke test (20 endpoints)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tester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pi-gateway-rutas-14"/>
    <w:p>
      <w:pPr>
        <w:pStyle w:val="Heading2"/>
      </w:pPr>
      <w:r>
        <w:rPr>
          <w:b/>
          <w:bCs/>
        </w:rPr>
        <w:t xml:space="preserve">4. API Gateway — Rutas (14)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(Eureka LB)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/api/admin/reset-presupuesto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/api/admin/reset-expedientes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lb://expediente-service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sumen-de-artefactos"/>
    <w:p>
      <w:pPr>
        <w:pStyle w:val="Heading2"/>
      </w:pPr>
      <w:r>
        <w:rPr>
          <w:b/>
          <w:bCs/>
        </w:rPr>
        <w:t xml:space="preserve">5. Resumen de Artefactos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 Docker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Microservicios Spring Boot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 PostgreSQL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 (Spring Cloud)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Discovery (Eureka)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Broker (RabbitMQ)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Entidades JPA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 compartidos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Actores del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Uso documentados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ICONIX totales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Tecnologias en el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Arquitectura Global — Documentacion ICONIX</w:t>
      </w:r>
    </w:p>
    <w:p>
      <w:pPr>
        <w:pStyle w:val="BodyText"/>
      </w:pPr>
      <w:r>
        <w:t xml:space="preserve">Universidad Peruana Los Andes — Arquitectura de Software — VIII Ciclo — Julio 2026</w:t>
      </w:r>
    </w:p>
    <w:bookmarkEnd w:id="31"/>
    <w:bookmarkEnd w:id="32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Arquitectura Global ICONIX</dc:title>
  <dc:creator>Arquitectura de Software — VIII Ciclo — Julio 2026</dc:creator>
  <dc:language>es</dc:language>
  <cp:keywords/>
  <dcterms:created xsi:type="dcterms:W3CDTF">2026-07-14T20:56:42Z</dcterms:created>
  <dcterms:modified xsi:type="dcterms:W3CDTF">2026-07-14T20:56:42Z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Diagramas de Arquitectura de Microservicios</vt:lpwstr>
  </property>
</Properties>
</file>