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wellness_centre_scheduling_platfo_8b32bc"/>
      <w:r>
        <w:rPr>
          <w:rFonts w:eastAsia="source serif 4" w:cs="source serif 4" w:ascii="source serif 4" w:hAnsi="source serif 4"/>
          <w:b/>
          <w:color w:val="000000"/>
          <w:sz w:val="39"/>
        </w:rPr>
        <w:t xml:space="preserve">Wellness Centre Scheduling Platform Requirements Document</w:t>
      </w:r>
      <w:bookmarkEnd w:id="0"/>
    </w:p>
    <w:p>
      <w:pPr>
        <w:spacing w:line="360" w:before="315" w:after="105" w:lineRule="auto"/>
        <w:ind w:left="-30"/>
        <w:jc w:val="left"/>
      </w:pPr>
      <w:bookmarkStart w:id="1" w:name="product_overview"/>
      <w:r>
        <w:rPr>
          <w:rFonts w:eastAsia="source serif 4" w:cs="source serif 4" w:ascii="source serif 4" w:hAnsi="source serif 4"/>
          <w:b/>
          <w:color w:val="000000"/>
          <w:sz w:val="24"/>
        </w:rPr>
        <w:t xml:space="preserve">Product overview</w:t>
      </w:r>
      <w:bookmarkEnd w:id="1"/>
    </w:p>
    <w:p>
      <w:pPr>
        <w:spacing w:line="360" w:after="210" w:lineRule="auto"/>
      </w:pPr>
      <w:r>
        <w:rPr>
          <w:rFonts w:eastAsia="source serif 4" w:cs="source serif 4" w:ascii="source serif 4" w:hAnsi="source serif 4"/>
          <w:color w:val="000000"/>
        </w:rPr>
        <w:t xml:space="preserve">This document defines the requirements for a web-based scheduling and practice operations platform for a wellness centre that supports multiple practitioners, rooms, services, appointment booking, reminders, invoicing, and an internal API service. The solution is intended for service professionals such as holistic medical doctors, massage therapists, and nutritionists, while being flexible enough to support either practitioner-managed bookings or centrally managed clinic scheduling.</w:t>
      </w:r>
    </w:p>
    <w:p>
      <w:pPr>
        <w:spacing w:line="360" w:after="210" w:lineRule="auto"/>
      </w:pPr>
      <w:r>
        <w:rPr>
          <w:rFonts w:eastAsia="source serif 4" w:cs="source serif 4" w:ascii="source serif 4" w:hAnsi="source serif 4"/>
          <w:color w:val="000000"/>
        </w:rPr>
        <w:t xml:space="preserve">The product will be delivered as a responsive web application that works well on desktop and mobile browsers. It will use a companion internal API application built with PHP and MySQL, with the scheduling system as the primary consumer of that API.</w:t>
      </w:r>
    </w:p>
    <w:p>
      <w:pPr>
        <w:spacing w:line="360" w:after="210" w:lineRule="auto"/>
      </w:pPr>
      <w:r>
        <w:rPr>
          <w:rFonts w:eastAsia="source serif 4" w:cs="source serif 4" w:ascii="source serif 4" w:hAnsi="source serif 4"/>
          <w:color w:val="000000"/>
        </w:rPr>
        <w:t xml:space="preserve">The platform must support Canadian privacy requirements from the start and be designed so that U.S. compliance needs can be addressed later. PIPEDA requires accountability, identifying purposes, consent, limiting collection, limiting use and retention, safeguards, openness, individual access, and correction rights, which directly affect data collection, retention, exports, and auditability.[cite:56][cite:57][cite:59]</w:t>
      </w:r>
    </w:p>
    <w:p>
      <w:pPr>
        <w:spacing w:line="360" w:before="315" w:after="105" w:lineRule="auto"/>
        <w:ind w:left="-30"/>
        <w:jc w:val="left"/>
      </w:pPr>
      <w:bookmarkStart w:id="2" w:name="goals_and_scope"/>
      <w:r>
        <w:rPr>
          <w:rFonts w:eastAsia="source serif 4" w:cs="source serif 4" w:ascii="source serif 4" w:hAnsi="source serif 4"/>
          <w:b/>
          <w:color w:val="000000"/>
          <w:sz w:val="24"/>
        </w:rPr>
        <w:t xml:space="preserve">Goals and scope</w:t>
      </w:r>
      <w:bookmarkEnd w:id="2"/>
    </w:p>
    <w:p>
      <w:pPr>
        <w:spacing w:line="360" w:after="210" w:lineRule="auto"/>
      </w:pPr>
      <w:r>
        <w:rPr>
          <w:rFonts w:eastAsia="source serif 4" w:cs="source serif 4" w:ascii="source serif 4" w:hAnsi="source serif 4"/>
          <w:color w:val="000000"/>
        </w:rPr>
        <w:t xml:space="preserve">The primary business goal is to let clients discover practitioner availability and book appointments online while enabling the wellness centre to coordinate rooms, services, practitioners, reminders, and billing. The platform must support both of the centre's expected business modes: room-rental practitioners who manage their own bookings and clinic-managed practitioner offerings where staff book services based on centre rules.</w:t>
      </w:r>
    </w:p>
    <w:p>
      <w:pPr>
        <w:spacing w:line="360" w:after="210" w:lineRule="auto"/>
      </w:pPr>
      <w:r>
        <w:rPr>
          <w:rFonts w:eastAsia="source serif 4" w:cs="source serif 4" w:ascii="source serif 4" w:hAnsi="source serif 4"/>
          <w:color w:val="000000"/>
        </w:rPr>
        <w:t xml:space="preserve">The minimum viable product must include public browsing of availability, client login through social sign-in, booking workflows, practitioner scheduling, room assignment, cancellation and rescheduling rules, reminder emails, internal invoicing and payment tracking, staff role management, client data export, and an internal PHP/MySQL API. The document also includes recommended features such as waitlists, intake forms, consent forms, reporting, audit logs, and configurable service rules because those are common production requirements for appointment systems.[cite:58][cite:60][cite:61][cite:68][cite:70]</w:t>
      </w:r>
    </w:p>
    <w:p>
      <w:pPr>
        <w:spacing w:line="360" w:after="210" w:lineRule="auto"/>
      </w:pPr>
      <w:r>
        <w:rPr>
          <w:rFonts w:eastAsia="source serif 4" w:cs="source serif 4" w:ascii="source serif 4" w:hAnsi="source serif 4"/>
          <w:color w:val="000000"/>
        </w:rPr>
        <w:t xml:space="preserve">Out of scope for the initial phase are native mobile apps, a public third-party developer API, full bidirectional accounting synchronization design, and mandatory SMS support. The architecture should still leave room for later additions such as SMS, external calendar synchronization, and expanded QuickBooks integration.</w:t>
      </w:r>
    </w:p>
    <w:p>
      <w:pPr>
        <w:spacing w:line="360" w:before="315" w:after="105" w:lineRule="auto"/>
        <w:ind w:left="-30"/>
        <w:jc w:val="left"/>
      </w:pPr>
      <w:bookmarkStart w:id="3" w:name="user_roles"/>
      <w:r>
        <w:rPr>
          <w:rFonts w:eastAsia="source serif 4" w:cs="source serif 4" w:ascii="source serif 4" w:hAnsi="source serif 4"/>
          <w:b/>
          <w:color w:val="000000"/>
          <w:sz w:val="24"/>
        </w:rPr>
        <w:t xml:space="preserve">User roles</w:t>
      </w:r>
      <w:bookmarkEnd w:id="3"/>
    </w:p>
    <w:p>
      <w:pPr>
        <w:spacing w:line="360" w:after="210" w:lineRule="auto"/>
      </w:pPr>
      <w:r>
        <w:rPr>
          <w:rFonts w:eastAsia="source serif 4" w:cs="source serif 4" w:ascii="source serif 4" w:hAnsi="source serif 4"/>
          <w:color w:val="000000"/>
        </w:rPr>
        <w:t xml:space="preserve">The system must support the following internal roles:</w:t>
      </w:r>
    </w:p>
    <w:p>
      <w:pPr>
        <w:numPr>
          <w:ilvl w:val="0"/>
          <w:numId w:val="1"/>
        </w:numPr>
        <w:spacing w:line="360" w:before="105" w:after="105" w:lineRule="auto"/>
      </w:pPr>
      <w:r>
        <w:rPr>
          <w:rFonts w:eastAsia="source serif 4" w:cs="source serif 4" w:ascii="source serif 4" w:hAnsi="source serif 4"/>
          <w:color w:val="000000"/>
          <w:sz w:val="21"/>
        </w:rPr>
        <w:t xml:space="preserve">Super Admin: platform-level control over configuration, role setup, compliance controls, system policies, integrations, and cross-clinic data management.</w:t>
      </w:r>
    </w:p>
    <w:p>
      <w:pPr>
        <w:numPr>
          <w:ilvl w:val="0"/>
          <w:numId w:val="1"/>
        </w:numPr>
        <w:spacing w:line="360" w:before="105" w:after="105" w:lineRule="auto"/>
      </w:pPr>
      <w:r>
        <w:rPr>
          <w:rFonts w:eastAsia="source serif 4" w:cs="source serif 4" w:ascii="source serif 4" w:hAnsi="source serif 4"/>
          <w:color w:val="000000"/>
          <w:sz w:val="21"/>
        </w:rPr>
        <w:t xml:space="preserve">Clinic Admin: operational control over practitioners, rooms, schedules, bookings, reminders, service definitions, and clinic-level reports.</w:t>
      </w:r>
    </w:p>
    <w:p>
      <w:pPr>
        <w:numPr>
          <w:ilvl w:val="0"/>
          <w:numId w:val="1"/>
        </w:numPr>
        <w:spacing w:line="360" w:before="105" w:after="105" w:lineRule="auto"/>
      </w:pPr>
      <w:r>
        <w:rPr>
          <w:rFonts w:eastAsia="source serif 4" w:cs="source serif 4" w:ascii="source serif 4" w:hAnsi="source serif 4"/>
          <w:color w:val="000000"/>
          <w:sz w:val="21"/>
        </w:rPr>
        <w:t xml:space="preserve">Reception: front-desk role with permission to search clients, create bookings, reschedule appointments, collect payments, and manage waitlists.</w:t>
      </w:r>
    </w:p>
    <w:p>
      <w:pPr>
        <w:numPr>
          <w:ilvl w:val="0"/>
          <w:numId w:val="1"/>
        </w:numPr>
        <w:spacing w:line="360" w:before="105" w:after="105" w:lineRule="auto"/>
      </w:pPr>
      <w:r>
        <w:rPr>
          <w:rFonts w:eastAsia="source serif 4" w:cs="source serif 4" w:ascii="source serif 4" w:hAnsi="source serif 4"/>
          <w:color w:val="000000"/>
          <w:sz w:val="21"/>
        </w:rPr>
        <w:t xml:space="preserve">Practitioner: can manage personal availability at this location, services offered, room preferences, time-off, sick-day blocks, client records for clients who booked with that practitioner, appointment notes, and forms relevant to that practitioner.</w:t>
      </w:r>
    </w:p>
    <w:p>
      <w:pPr>
        <w:numPr>
          <w:ilvl w:val="0"/>
          <w:numId w:val="1"/>
        </w:numPr>
        <w:spacing w:line="360" w:before="105" w:after="105" w:lineRule="auto"/>
      </w:pPr>
      <w:r>
        <w:rPr>
          <w:rFonts w:eastAsia="source serif 4" w:cs="source serif 4" w:ascii="source serif 4" w:hAnsi="source serif 4"/>
          <w:color w:val="000000"/>
          <w:sz w:val="21"/>
        </w:rPr>
        <w:t xml:space="preserve">Accountant: can access invoices, payment records, exportable financial information, and accounting integration settings, but should not have unrestricted access to clinical notes unless explicitly permitted.</w:t>
      </w:r>
    </w:p>
    <w:p>
      <w:pPr>
        <w:spacing w:line="360" w:after="210" w:lineRule="auto"/>
      </w:pPr>
      <w:r>
        <w:rPr>
          <w:rFonts w:eastAsia="source serif 4" w:cs="source serif 4" w:ascii="source serif 4" w:hAnsi="source serif 4"/>
          <w:color w:val="000000"/>
        </w:rPr>
        <w:t xml:space="preserve">The system must also support external client users. Clients can browse public availability without authentication, but must authenticate before booking. Clients should be able to see upcoming and past appointments, cancel or reschedule within policy, complete required forms, and request export of their personal data. PIPEDA requires organizations to provide individuals access to their personal information and allow correction of inaccuracies, which should be reflected in the client portal and administrative workflows.[cite:57][cite:59]</w:t>
      </w:r>
    </w:p>
    <w:p>
      <w:pPr>
        <w:spacing w:line="360" w:before="315" w:after="105" w:lineRule="auto"/>
        <w:ind w:left="-30"/>
        <w:jc w:val="left"/>
      </w:pPr>
      <w:bookmarkStart w:id="4" w:name="functional_requirements"/>
      <w:r>
        <w:rPr>
          <w:rFonts w:eastAsia="source serif 4" w:cs="source serif 4" w:ascii="source serif 4" w:hAnsi="source serif 4"/>
          <w:b/>
          <w:color w:val="000000"/>
          <w:sz w:val="24"/>
        </w:rPr>
        <w:t xml:space="preserve">Functional requirements</w:t>
      </w:r>
      <w:bookmarkEnd w:id="4"/>
    </w:p>
    <w:p>
      <w:pPr>
        <w:spacing w:line="360" w:before="315" w:after="105" w:lineRule="auto"/>
        <w:ind w:left="-30"/>
        <w:jc w:val="left"/>
      </w:pPr>
      <w:bookmarkStart w:id="5" w:name="public_booking_experience"/>
      <w:r>
        <w:rPr>
          <w:rFonts w:eastAsia="source serif 4" w:cs="source serif 4" w:ascii="source serif 4" w:hAnsi="source serif 4"/>
          <w:b/>
          <w:color w:val="000000"/>
          <w:sz w:val="24"/>
        </w:rPr>
        <w:t xml:space="preserve">Public booking experience</w:t>
      </w:r>
      <w:bookmarkEnd w:id="5"/>
    </w:p>
    <w:p>
      <w:pPr>
        <w:spacing w:line="360" w:after="210" w:lineRule="auto"/>
      </w:pPr>
      <w:r>
        <w:rPr>
          <w:rFonts w:eastAsia="source serif 4" w:cs="source serif 4" w:ascii="source serif 4" w:hAnsi="source serif 4"/>
          <w:color w:val="000000"/>
        </w:rPr>
        <w:t xml:space="preserve">The public website must allow anonymous users to view practitioners, services, room-based availability where applicable, and open appointment times without logging in. The user must be able to filter by practitioner, service, duration, date, room-dependent offering, and optionally location if more than one location is introduced later.</w:t>
      </w:r>
    </w:p>
    <w:p>
      <w:pPr>
        <w:spacing w:line="360" w:after="210" w:lineRule="auto"/>
      </w:pPr>
      <w:r>
        <w:rPr>
          <w:rFonts w:eastAsia="source serif 4" w:cs="source serif 4" w:ascii="source serif 4" w:hAnsi="source serif 4"/>
          <w:color w:val="000000"/>
        </w:rPr>
        <w:t xml:space="preserve">Clients must be required to authenticate before confirming a booking. Client login should initially support social sign-in providers such as Google, Microsoft, and Meta-supported identities, reducing the need for the platform to store local client passwords; OAuth implementations should follow provider security guidance and use secure authorization practices and minimal scopes.[cite:49][cite:51][cite:53][cite:54][cite:55]</w:t>
      </w:r>
    </w:p>
    <w:p>
      <w:pPr>
        <w:spacing w:line="360" w:before="315" w:after="105" w:lineRule="auto"/>
        <w:ind w:left="-30"/>
        <w:jc w:val="left"/>
      </w:pPr>
      <w:bookmarkStart w:id="6" w:name="staff_authentication"/>
      <w:r>
        <w:rPr>
          <w:rFonts w:eastAsia="source serif 4" w:cs="source serif 4" w:ascii="source serif 4" w:hAnsi="source serif 4"/>
          <w:b/>
          <w:color w:val="000000"/>
          <w:sz w:val="24"/>
        </w:rPr>
        <w:t xml:space="preserve">Staff authentication</w:t>
      </w:r>
      <w:bookmarkEnd w:id="6"/>
    </w:p>
    <w:p>
      <w:pPr>
        <w:spacing w:line="360" w:after="210" w:lineRule="auto"/>
      </w:pPr>
      <w:r>
        <w:rPr>
          <w:rFonts w:eastAsia="source serif 4" w:cs="source serif 4" w:ascii="source serif 4" w:hAnsi="source serif 4"/>
          <w:color w:val="000000"/>
        </w:rPr>
        <w:t xml:space="preserve">Staff users must authenticate using either internal system accounts or Microsoft-based sign-in, depending on configuration. The requirements document should treat this as a configurable staff-authentication strategy, with role-based authorization enforced by the application and API regardless of sign-in source.</w:t>
      </w:r>
    </w:p>
    <w:p>
      <w:pPr>
        <w:spacing w:line="360" w:after="210" w:lineRule="auto"/>
      </w:pPr>
      <w:r>
        <w:rPr>
          <w:rFonts w:eastAsia="source serif 4" w:cs="source serif 4" w:ascii="source serif 4" w:hAnsi="source serif 4"/>
          <w:color w:val="000000"/>
        </w:rPr>
        <w:t xml:space="preserve">If internal staff accounts are used, the platform must provide secure password storage, reset workflows, lockout rules, MFA readiness, and audit logging. If Microsoft identity is used, the solution must support role assignment after identity validation.</w:t>
      </w:r>
    </w:p>
    <w:p>
      <w:pPr>
        <w:spacing w:line="360" w:before="315" w:after="105" w:lineRule="auto"/>
        <w:ind w:left="-30"/>
        <w:jc w:val="left"/>
      </w:pPr>
      <w:bookmarkStart w:id="7" w:name="practitioner_and_room_management"/>
      <w:r>
        <w:rPr>
          <w:rFonts w:eastAsia="source serif 4" w:cs="source serif 4" w:ascii="source serif 4" w:hAnsi="source serif 4"/>
          <w:b/>
          <w:color w:val="000000"/>
          <w:sz w:val="24"/>
        </w:rPr>
        <w:t xml:space="preserve">Practitioner and room management</w:t>
      </w:r>
      <w:bookmarkEnd w:id="7"/>
    </w:p>
    <w:p>
      <w:pPr>
        <w:spacing w:line="360" w:after="210" w:lineRule="auto"/>
      </w:pPr>
      <w:r>
        <w:rPr>
          <w:rFonts w:eastAsia="source serif 4" w:cs="source serif 4" w:ascii="source serif 4" w:hAnsi="source serif 4"/>
          <w:color w:val="000000"/>
        </w:rPr>
        <w:t xml:space="preserve">The system must maintain practitioner profiles including name, discipline, biography, credentials, services provided, forms used, appointment rules, room preferences, availability schedule for this location, and contact preferences. Practitioners may operate in multiple real-world locations, but the platform must capture only the hours and availability they explicitly provide for the wellness centre.</w:t>
      </w:r>
    </w:p>
    <w:p>
      <w:pPr>
        <w:spacing w:line="360" w:after="210" w:lineRule="auto"/>
      </w:pPr>
      <w:r>
        <w:rPr>
          <w:rFonts w:eastAsia="source serif 4" w:cs="source serif 4" w:ascii="source serif 4" w:hAnsi="source serif 4"/>
          <w:color w:val="000000"/>
        </w:rPr>
        <w:t xml:space="preserve">The system must maintain room records including room type, room capabilities, equipment notes, bookable status, cleaning or turnover buffers, and restrictions on which services or practitioners can use each room. Booking logic must prevent double-booking of practitioners and rooms.</w:t>
      </w:r>
    </w:p>
    <w:p>
      <w:pPr>
        <w:spacing w:line="360" w:before="315" w:after="105" w:lineRule="auto"/>
        <w:ind w:left="-30"/>
        <w:jc w:val="left"/>
      </w:pPr>
      <w:bookmarkStart w:id="8" w:name="availability_and_calendar_management"/>
      <w:r>
        <w:rPr>
          <w:rFonts w:eastAsia="source serif 4" w:cs="source serif 4" w:ascii="source serif 4" w:hAnsi="source serif 4"/>
          <w:b/>
          <w:color w:val="000000"/>
          <w:sz w:val="24"/>
        </w:rPr>
        <w:t xml:space="preserve">Availability and calendar management</w:t>
      </w:r>
      <w:bookmarkEnd w:id="8"/>
    </w:p>
    <w:p>
      <w:pPr>
        <w:spacing w:line="360" w:after="210" w:lineRule="auto"/>
      </w:pPr>
      <w:r>
        <w:rPr>
          <w:rFonts w:eastAsia="source serif 4" w:cs="source serif 4" w:ascii="source serif 4" w:hAnsi="source serif 4"/>
          <w:color w:val="000000"/>
        </w:rPr>
        <w:t xml:space="preserve">Availability must be managed internally in the application database as the authoritative schedule source. Practitioners must be able to define recurring working hours, ad hoc availability, blocked times, vacations, sick days, and manual overrides.</w:t>
      </w:r>
    </w:p>
    <w:p>
      <w:pPr>
        <w:spacing w:line="360" w:after="210" w:lineRule="auto"/>
      </w:pPr>
      <w:r>
        <w:rPr>
          <w:rFonts w:eastAsia="source serif 4" w:cs="source serif 4" w:ascii="source serif 4" w:hAnsi="source serif 4"/>
          <w:color w:val="000000"/>
        </w:rPr>
        <w:t xml:space="preserve">Time must be scheduled in 15-minute increments. Services and appointment durations must be expressed as one or more 15-minute slots, allowing examples such as 30-minute massage, 60-minute massage, or 60-minute initial assessment, while preventing clients from selecting durations that violate service rules or practitioner restrictions.</w:t>
      </w:r>
    </w:p>
    <w:p>
      <w:pPr>
        <w:spacing w:line="360" w:after="210" w:lineRule="auto"/>
      </w:pPr>
      <w:r>
        <w:rPr>
          <w:rFonts w:eastAsia="source serif 4" w:cs="source serif 4" w:ascii="source serif 4" w:hAnsi="source serif 4"/>
          <w:color w:val="000000"/>
        </w:rPr>
        <w:t xml:space="preserve">Practitioners must be able to import calendar data from other systems for reference or conflict blocking. The import mechanism may initially be file-based or manual-entry-assisted, but imported calendar items must be distinguishable from appointments created within the platform.</w:t>
      </w:r>
    </w:p>
    <w:p>
      <w:pPr>
        <w:spacing w:line="360" w:after="210" w:lineRule="auto"/>
      </w:pPr>
      <w:r>
        <w:rPr>
          <w:rFonts w:eastAsia="source serif 4" w:cs="source serif 4" w:ascii="source serif 4" w:hAnsi="source serif 4"/>
          <w:color w:val="000000"/>
        </w:rPr>
        <w:t xml:space="preserve">When a practitioner marks a sick day or other time-off event that affects existing bookings, the system must identify impacted appointments, notify affected clients by email, alert internal staff, and generate a follow-up task reminding someone to call the affected client. Automated reminders and proactive schedule management are established no-show and gap-reduction strategies in appointment operations.[cite:58][cite:61][cite:68]</w:t>
      </w:r>
    </w:p>
    <w:p>
      <w:pPr>
        <w:spacing w:line="360" w:before="315" w:after="105" w:lineRule="auto"/>
        <w:ind w:left="-30"/>
        <w:jc w:val="left"/>
      </w:pPr>
      <w:bookmarkStart w:id="9" w:name="services_and_booking_rules"/>
      <w:r>
        <w:rPr>
          <w:rFonts w:eastAsia="source serif 4" w:cs="source serif 4" w:ascii="source serif 4" w:hAnsi="source serif 4"/>
          <w:b/>
          <w:color w:val="000000"/>
          <w:sz w:val="24"/>
        </w:rPr>
        <w:t xml:space="preserve">Services and booking rules</w:t>
      </w:r>
      <w:bookmarkEnd w:id="9"/>
    </w:p>
    <w:p>
      <w:pPr>
        <w:spacing w:line="360" w:after="210" w:lineRule="auto"/>
      </w:pPr>
      <w:r>
        <w:rPr>
          <w:rFonts w:eastAsia="source serif 4" w:cs="source serif 4" w:ascii="source serif 4" w:hAnsi="source serif 4"/>
          <w:color w:val="000000"/>
        </w:rPr>
        <w:t xml:space="preserve">Each practitioner must be able to define services, service categories, descriptions, durations, pricing, preparation instructions, required forms, lead-time rules, cutoff times, recurrence eligibility, buffer times, cancellation rules, and room requirements. Some services must allow client-selected duration from predefined options, while others must require a fixed duration.</w:t>
      </w:r>
    </w:p>
    <w:p>
      <w:pPr>
        <w:spacing w:line="360" w:after="210" w:lineRule="auto"/>
      </w:pPr>
      <w:r>
        <w:rPr>
          <w:rFonts w:eastAsia="source serif 4" w:cs="source serif 4" w:ascii="source serif 4" w:hAnsi="source serif 4"/>
          <w:color w:val="000000"/>
        </w:rPr>
        <w:t xml:space="preserve">The booking engine must validate all constraints before allowing confirmation, including practitioner availability, room availability, service duration rules, booking lead times, cutoff rules, and cancellation policy implications. If a user selects an unsupported duration or invalid time combination, the system must either prevent the selection or present a clear explanation.</w:t>
      </w:r>
    </w:p>
    <w:p>
      <w:pPr>
        <w:spacing w:line="360" w:after="210" w:lineRule="auto"/>
      </w:pPr>
      <w:r>
        <w:rPr>
          <w:rFonts w:eastAsia="source serif 4" w:cs="source serif 4" w:ascii="source serif 4" w:hAnsi="source serif 4"/>
          <w:color w:val="000000"/>
        </w:rPr>
        <w:t xml:space="preserve">Recurring booking requests must be supported for eligible services. For example, a client must be able to request a recurring weekly appointment such as every Monday at 8:00 AM, subject to practitioner availability and configurable recurrence rules.</w:t>
      </w:r>
    </w:p>
    <w:p>
      <w:pPr>
        <w:spacing w:line="360" w:before="315" w:after="105" w:lineRule="auto"/>
        <w:ind w:left="-30"/>
        <w:jc w:val="left"/>
      </w:pPr>
      <w:bookmarkStart w:id="10" w:name="appointment_lifecycle"/>
      <w:r>
        <w:rPr>
          <w:rFonts w:eastAsia="source serif 4" w:cs="source serif 4" w:ascii="source serif 4" w:hAnsi="source serif 4"/>
          <w:b/>
          <w:color w:val="000000"/>
          <w:sz w:val="24"/>
        </w:rPr>
        <w:t xml:space="preserve">Appointment lifecycle</w:t>
      </w:r>
      <w:bookmarkEnd w:id="10"/>
    </w:p>
    <w:p>
      <w:pPr>
        <w:spacing w:line="360" w:after="210" w:lineRule="auto"/>
      </w:pPr>
      <w:r>
        <w:rPr>
          <w:rFonts w:eastAsia="source serif 4" w:cs="source serif 4" w:ascii="source serif 4" w:hAnsi="source serif 4"/>
          <w:color w:val="000000"/>
        </w:rPr>
        <w:t xml:space="preserve">Appointments must support at least the following statuses:</w:t>
      </w:r>
    </w:p>
    <w:p>
      <w:pPr>
        <w:numPr>
          <w:ilvl w:val="0"/>
          <w:numId w:val="2"/>
        </w:numPr>
        <w:spacing w:line="360" w:before="105" w:after="105" w:lineRule="auto"/>
      </w:pPr>
      <w:r>
        <w:rPr>
          <w:rFonts w:eastAsia="source serif 4" w:cs="source serif 4" w:ascii="source serif 4" w:hAnsi="source serif 4"/>
          <w:color w:val="000000"/>
          <w:sz w:val="21"/>
        </w:rPr>
        <w:t xml:space="preserve">Draft</w:t>
      </w:r>
    </w:p>
    <w:p>
      <w:pPr>
        <w:numPr>
          <w:ilvl w:val="0"/>
          <w:numId w:val="2"/>
        </w:numPr>
        <w:spacing w:line="360" w:before="105" w:after="105" w:lineRule="auto"/>
      </w:pPr>
      <w:r>
        <w:rPr>
          <w:rFonts w:eastAsia="source serif 4" w:cs="source serif 4" w:ascii="source serif 4" w:hAnsi="source serif 4"/>
          <w:color w:val="000000"/>
          <w:sz w:val="21"/>
        </w:rPr>
        <w:t xml:space="preserve">Requested</w:t>
      </w:r>
    </w:p>
    <w:p>
      <w:pPr>
        <w:numPr>
          <w:ilvl w:val="0"/>
          <w:numId w:val="2"/>
        </w:numPr>
        <w:spacing w:line="360" w:before="105" w:after="105" w:lineRule="auto"/>
      </w:pPr>
      <w:r>
        <w:rPr>
          <w:rFonts w:eastAsia="source serif 4" w:cs="source serif 4" w:ascii="source serif 4" w:hAnsi="source serif 4"/>
          <w:color w:val="000000"/>
          <w:sz w:val="21"/>
        </w:rPr>
        <w:t xml:space="preserve">Confirmed</w:t>
      </w:r>
    </w:p>
    <w:p>
      <w:pPr>
        <w:numPr>
          <w:ilvl w:val="0"/>
          <w:numId w:val="2"/>
        </w:numPr>
        <w:spacing w:line="360" w:before="105" w:after="105" w:lineRule="auto"/>
      </w:pPr>
      <w:r>
        <w:rPr>
          <w:rFonts w:eastAsia="source serif 4" w:cs="source serif 4" w:ascii="source serif 4" w:hAnsi="source serif 4"/>
          <w:color w:val="000000"/>
          <w:sz w:val="21"/>
        </w:rPr>
        <w:t xml:space="preserve">Rescheduled</w:t>
      </w:r>
    </w:p>
    <w:p>
      <w:pPr>
        <w:numPr>
          <w:ilvl w:val="0"/>
          <w:numId w:val="2"/>
        </w:numPr>
        <w:spacing w:line="360" w:before="105" w:after="105" w:lineRule="auto"/>
      </w:pPr>
      <w:r>
        <w:rPr>
          <w:rFonts w:eastAsia="source serif 4" w:cs="source serif 4" w:ascii="source serif 4" w:hAnsi="source serif 4"/>
          <w:color w:val="000000"/>
          <w:sz w:val="21"/>
        </w:rPr>
        <w:t xml:space="preserve">Canceled by client</w:t>
      </w:r>
    </w:p>
    <w:p>
      <w:pPr>
        <w:numPr>
          <w:ilvl w:val="0"/>
          <w:numId w:val="2"/>
        </w:numPr>
        <w:spacing w:line="360" w:before="105" w:after="105" w:lineRule="auto"/>
      </w:pPr>
      <w:r>
        <w:rPr>
          <w:rFonts w:eastAsia="source serif 4" w:cs="source serif 4" w:ascii="source serif 4" w:hAnsi="source serif 4"/>
          <w:color w:val="000000"/>
          <w:sz w:val="21"/>
        </w:rPr>
        <w:t xml:space="preserve">Canceled by clinic</w:t>
      </w:r>
    </w:p>
    <w:p>
      <w:pPr>
        <w:numPr>
          <w:ilvl w:val="0"/>
          <w:numId w:val="2"/>
        </w:numPr>
        <w:spacing w:line="360" w:before="105" w:after="105" w:lineRule="auto"/>
      </w:pPr>
      <w:r>
        <w:rPr>
          <w:rFonts w:eastAsia="source serif 4" w:cs="source serif 4" w:ascii="source serif 4" w:hAnsi="source serif 4"/>
          <w:color w:val="000000"/>
          <w:sz w:val="21"/>
        </w:rPr>
        <w:t xml:space="preserve">No-show</w:t>
      </w:r>
    </w:p>
    <w:p>
      <w:pPr>
        <w:numPr>
          <w:ilvl w:val="0"/>
          <w:numId w:val="2"/>
        </w:numPr>
        <w:spacing w:line="360" w:before="105" w:after="105" w:lineRule="auto"/>
      </w:pPr>
      <w:r>
        <w:rPr>
          <w:rFonts w:eastAsia="source serif 4" w:cs="source serif 4" w:ascii="source serif 4" w:hAnsi="source serif 4"/>
          <w:color w:val="000000"/>
          <w:sz w:val="21"/>
        </w:rPr>
        <w:t xml:space="preserve">Completed</w:t>
      </w:r>
    </w:p>
    <w:p>
      <w:pPr>
        <w:numPr>
          <w:ilvl w:val="0"/>
          <w:numId w:val="2"/>
        </w:numPr>
        <w:spacing w:line="360" w:before="105" w:after="105" w:lineRule="auto"/>
      </w:pPr>
      <w:r>
        <w:rPr>
          <w:rFonts w:eastAsia="source serif 4" w:cs="source serif 4" w:ascii="source serif 4" w:hAnsi="source serif 4"/>
          <w:color w:val="000000"/>
          <w:sz w:val="21"/>
        </w:rPr>
        <w:t xml:space="preserve">Invoiced</w:t>
      </w:r>
    </w:p>
    <w:p>
      <w:pPr>
        <w:numPr>
          <w:ilvl w:val="0"/>
          <w:numId w:val="2"/>
        </w:numPr>
        <w:spacing w:line="360" w:before="105" w:after="105" w:lineRule="auto"/>
      </w:pPr>
      <w:r>
        <w:rPr>
          <w:rFonts w:eastAsia="source serif 4" w:cs="source serif 4" w:ascii="source serif 4" w:hAnsi="source serif 4"/>
          <w:color w:val="000000"/>
          <w:sz w:val="21"/>
        </w:rPr>
        <w:t xml:space="preserve">Paid</w:t>
      </w:r>
    </w:p>
    <w:p>
      <w:pPr>
        <w:spacing w:line="360" w:after="210" w:lineRule="auto"/>
      </w:pPr>
      <w:r>
        <w:rPr>
          <w:rFonts w:eastAsia="source serif 4" w:cs="source serif 4" w:ascii="source serif 4" w:hAnsi="source serif 4"/>
          <w:color w:val="000000"/>
        </w:rPr>
        <w:t xml:space="preserve">The application must keep a full audit trail of status changes, who performed them, timestamps, fee triggers, reminder events, and notification events. Auditability supports privacy compliance and operational dispute resolution.[cite:56][cite:59]</w:t>
      </w:r>
    </w:p>
    <w:p>
      <w:pPr>
        <w:spacing w:line="360" w:before="315" w:after="105" w:lineRule="auto"/>
        <w:ind w:left="-30"/>
        <w:jc w:val="left"/>
      </w:pPr>
      <w:bookmarkStart w:id="11" w:name="client_records_and_forms"/>
      <w:r>
        <w:rPr>
          <w:rFonts w:eastAsia="source serif 4" w:cs="source serif 4" w:ascii="source serif 4" w:hAnsi="source serif 4"/>
          <w:b/>
          <w:color w:val="000000"/>
          <w:sz w:val="24"/>
        </w:rPr>
        <w:t xml:space="preserve">Client records and forms</w:t>
      </w:r>
      <w:bookmarkEnd w:id="11"/>
    </w:p>
    <w:p>
      <w:pPr>
        <w:spacing w:line="360" w:after="210" w:lineRule="auto"/>
      </w:pPr>
      <w:r>
        <w:rPr>
          <w:rFonts w:eastAsia="source serif 4" w:cs="source serif 4" w:ascii="source serif 4" w:hAnsi="source serif 4"/>
          <w:color w:val="000000"/>
        </w:rPr>
        <w:t xml:space="preserve">The system must support rich client profiles with broad but lawful data collection, including contact details, preferred communication method, emergency contact if permitted, free-form notes, booking history, intake information, consent acknowledgements, uploaded or completed forms, invoices, payments, and appointment history. Because privacy law requires limiting collection to identified purposes, the final implementation must define which fields are mandatory, optional, or practitioner-specific, and document the purpose for each sensitive field.[cite:57][cite:59][cite:62]</w:t>
      </w:r>
    </w:p>
    <w:p>
      <w:pPr>
        <w:spacing w:line="360" w:after="210" w:lineRule="auto"/>
      </w:pPr>
      <w:r>
        <w:rPr>
          <w:rFonts w:eastAsia="source serif 4" w:cs="source serif 4" w:ascii="source serif 4" w:hAnsi="source serif 4"/>
          <w:color w:val="000000"/>
        </w:rPr>
        <w:t xml:space="preserve">Practitioners must be able to maintain practitioner-specific forms within the platform, including intake forms, consent forms, and follow-up questionnaires. Forms must be assignable by practitioner, service, or appointment type, and clients must be able to complete forms before appointments.</w:t>
      </w:r>
    </w:p>
    <w:p>
      <w:pPr>
        <w:spacing w:line="360" w:after="210" w:lineRule="auto"/>
      </w:pPr>
      <w:r>
        <w:rPr>
          <w:rFonts w:eastAsia="source serif 4" w:cs="source serif 4" w:ascii="source serif 4" w:hAnsi="source serif 4"/>
          <w:color w:val="000000"/>
        </w:rPr>
        <w:t xml:space="preserve">Clients must be able to view their past and upcoming appointments. The system must also provide a way to export all client information upon request, including profile data, bookings, forms, notes where legally releasable, invoices, and payment records, because privacy frameworks require individual access to personal information and correction rights.[cite:57][cite:59][cite:62]</w:t>
      </w:r>
    </w:p>
    <w:p>
      <w:pPr>
        <w:spacing w:line="360" w:before="315" w:after="105" w:lineRule="auto"/>
        <w:ind w:left="-30"/>
        <w:jc w:val="left"/>
      </w:pPr>
      <w:bookmarkStart w:id="12" w:name="cancellation_rescheduling_and_fees"/>
      <w:r>
        <w:rPr>
          <w:rFonts w:eastAsia="source serif 4" w:cs="source serif 4" w:ascii="source serif 4" w:hAnsi="source serif 4"/>
          <w:b/>
          <w:color w:val="000000"/>
          <w:sz w:val="24"/>
        </w:rPr>
        <w:t xml:space="preserve">Cancellation, rescheduling, and fees</w:t>
      </w:r>
      <w:bookmarkEnd w:id="12"/>
    </w:p>
    <w:p>
      <w:pPr>
        <w:spacing w:line="360" w:after="210" w:lineRule="auto"/>
      </w:pPr>
      <w:r>
        <w:rPr>
          <w:rFonts w:eastAsia="source serif 4" w:cs="source serif 4" w:ascii="source serif 4" w:hAnsi="source serif 4"/>
          <w:color w:val="000000"/>
        </w:rPr>
        <w:t xml:space="preserve">Clients must be able to cancel and reschedule appointments online. The system must support configurable cancellation policies, including a standard example such as cancellation within 24 hours incurring a fee, while still allowing authorized exceptions.</w:t>
      </w:r>
    </w:p>
    <w:p>
      <w:pPr>
        <w:spacing w:line="360" w:after="210" w:lineRule="auto"/>
      </w:pPr>
      <w:r>
        <w:rPr>
          <w:rFonts w:eastAsia="source serif 4" w:cs="source serif 4" w:ascii="source serif 4" w:hAnsi="source serif 4"/>
          <w:color w:val="000000"/>
        </w:rPr>
        <w:t xml:space="preserve">The cancellation policy engine must support configurable windows, fee amounts or percentages, exception reasons, waived-fee authorization, and audit logging. Practical appointment systems commonly use a 24- to 48-hour cancellation window, clear reschedule options, and automated reminders that make cancellation easy enough to convert likely no-shows into reusable openings.[cite:58][cite:61][cite:68]</w:t>
      </w:r>
    </w:p>
    <w:p>
      <w:pPr>
        <w:spacing w:line="360" w:after="210" w:lineRule="auto"/>
      </w:pPr>
      <w:r>
        <w:rPr>
          <w:rFonts w:eastAsia="source serif 4" w:cs="source serif 4" w:ascii="source serif 4" w:hAnsi="source serif 4"/>
          <w:color w:val="000000"/>
        </w:rPr>
        <w:t xml:space="preserve">Every reminder and confirmation should include a direct route to cancel or reschedule, subject to policy. Clear self-service cancellation and rescheduling is strongly associated with lower no-show rates and better waitlist recovery.[cite:60][cite:61][cite:68]</w:t>
      </w:r>
    </w:p>
    <w:p>
      <w:pPr>
        <w:spacing w:line="360" w:before="315" w:after="105" w:lineRule="auto"/>
        <w:ind w:left="-30"/>
        <w:jc w:val="left"/>
      </w:pPr>
      <w:bookmarkStart w:id="13" w:name="waitlist_management"/>
      <w:r>
        <w:rPr>
          <w:rFonts w:eastAsia="source serif 4" w:cs="source serif 4" w:ascii="source serif 4" w:hAnsi="source serif 4"/>
          <w:b/>
          <w:color w:val="000000"/>
          <w:sz w:val="24"/>
        </w:rPr>
        <w:t xml:space="preserve">Waitlist management</w:t>
      </w:r>
      <w:bookmarkEnd w:id="13"/>
    </w:p>
    <w:p>
      <w:pPr>
        <w:spacing w:line="360" w:after="210" w:lineRule="auto"/>
      </w:pPr>
      <w:r>
        <w:rPr>
          <w:rFonts w:eastAsia="source serif 4" w:cs="source serif 4" w:ascii="source serif 4" w:hAnsi="source serif 4"/>
          <w:color w:val="000000"/>
        </w:rPr>
        <w:t xml:space="preserve">The system must support waitlists for services, practitioners, and optionally preferred times or days. Clients should be able to opt into a waitlist when a desired slot is unavailable.</w:t>
      </w:r>
    </w:p>
    <w:p>
      <w:pPr>
        <w:spacing w:line="360" w:after="210" w:lineRule="auto"/>
      </w:pPr>
      <w:r>
        <w:rPr>
          <w:rFonts w:eastAsia="source serif 4" w:cs="source serif 4" w:ascii="source serif 4" w:hAnsi="source serif 4"/>
          <w:color w:val="000000"/>
        </w:rPr>
        <w:t xml:space="preserve">When an opening becomes available, the platform must notify eligible waitlisted clients according to configurable rules such as provider match, service match, date preference, and response window. Waitlist workflows work best when offers have explicit expiry windows and when cancellations are surfaced early enough through reminders and policy-driven self-service cancellation.[cite:60][cite:68][cite:70]</w:t>
      </w:r>
    </w:p>
    <w:p>
      <w:pPr>
        <w:spacing w:line="360" w:before="315" w:after="105" w:lineRule="auto"/>
        <w:ind w:left="-30"/>
        <w:jc w:val="left"/>
      </w:pPr>
      <w:bookmarkStart w:id="14" w:name="notifications_and_reminders"/>
      <w:r>
        <w:rPr>
          <w:rFonts w:eastAsia="source serif 4" w:cs="source serif 4" w:ascii="source serif 4" w:hAnsi="source serif 4"/>
          <w:b/>
          <w:color w:val="000000"/>
          <w:sz w:val="24"/>
        </w:rPr>
        <w:t xml:space="preserve">Notifications and reminders</w:t>
      </w:r>
      <w:bookmarkEnd w:id="14"/>
    </w:p>
    <w:p>
      <w:pPr>
        <w:spacing w:line="360" w:after="210" w:lineRule="auto"/>
      </w:pPr>
      <w:r>
        <w:rPr>
          <w:rFonts w:eastAsia="source serif 4" w:cs="source serif 4" w:ascii="source serif 4" w:hAnsi="source serif 4"/>
          <w:color w:val="000000"/>
        </w:rPr>
        <w:t xml:space="preserve">The initial notification channel must be email, with the architecture prepared for optional SMS later. The system must send a booking confirmation immediately after the appointment is created and then continue reminders on a globally configured schedule.</w:t>
      </w:r>
    </w:p>
    <w:p>
      <w:pPr>
        <w:spacing w:line="360" w:after="210" w:lineRule="auto"/>
      </w:pPr>
      <w:r>
        <w:rPr>
          <w:rFonts w:eastAsia="source serif 4" w:cs="source serif 4" w:ascii="source serif 4" w:hAnsi="source serif 4"/>
          <w:color w:val="000000"/>
        </w:rPr>
        <w:t xml:space="preserve">Reminder schedules must be centrally configurable, with an initial default such as confirmation at booking plus reminder intervals before the appointment. Research and operational guidance commonly recommend an immediate confirmation followed by reminders around 48 to 72 hours before and again around 24 hours before the appointment, with a closer final reminder where appropriate.[cite:58][cite:61][cite:68]</w:t>
      </w:r>
    </w:p>
    <w:p>
      <w:pPr>
        <w:spacing w:line="360" w:after="210" w:lineRule="auto"/>
      </w:pPr>
      <w:r>
        <w:rPr>
          <w:rFonts w:eastAsia="source serif 4" w:cs="source serif 4" w:ascii="source serif 4" w:hAnsi="source serif 4"/>
          <w:color w:val="000000"/>
        </w:rPr>
        <w:t xml:space="preserve">The system must send notifications to practitioners and applicable staff for new bookings, cancellations, schedule changes, affected appointments due to sick-day changes, and payment or invoice events. Message templates must be editable by authorized staff.</w:t>
      </w:r>
    </w:p>
    <w:p>
      <w:pPr>
        <w:spacing w:line="360" w:before="315" w:after="105" w:lineRule="auto"/>
        <w:ind w:left="-30"/>
        <w:jc w:val="left"/>
      </w:pPr>
      <w:bookmarkStart w:id="15" w:name="invoicing_and_payments"/>
      <w:r>
        <w:rPr>
          <w:rFonts w:eastAsia="source serif 4" w:cs="source serif 4" w:ascii="source serif 4" w:hAnsi="source serif 4"/>
          <w:b/>
          <w:color w:val="000000"/>
          <w:sz w:val="24"/>
        </w:rPr>
        <w:t xml:space="preserve">Invoicing and payments</w:t>
      </w:r>
      <w:bookmarkEnd w:id="15"/>
    </w:p>
    <w:p>
      <w:pPr>
        <w:spacing w:line="360" w:after="210" w:lineRule="auto"/>
      </w:pPr>
      <w:r>
        <w:rPr>
          <w:rFonts w:eastAsia="source serif 4" w:cs="source serif 4" w:ascii="source serif 4" w:hAnsi="source serif 4"/>
          <w:color w:val="000000"/>
        </w:rPr>
        <w:t xml:space="preserve">The system must generate invoices once an appointment is marked completed. The system must then support immediate payment capture or recording, and the internal invoicing module must track invoices, payments, taxes, balances, partial payments if later allowed, credits, adjustments, and refunds.</w:t>
      </w:r>
    </w:p>
    <w:p>
      <w:pPr>
        <w:spacing w:line="360" w:after="210" w:lineRule="auto"/>
      </w:pPr>
      <w:r>
        <w:rPr>
          <w:rFonts w:eastAsia="source serif 4" w:cs="source serif 4" w:ascii="source serif 4" w:hAnsi="source serif 4"/>
          <w:color w:val="000000"/>
        </w:rPr>
        <w:t xml:space="preserve">The internal billing module must support customer records, invoice line items, taxes, payment methods, payment status, receipts, and accounting export readiness. Even before final QuickBooks design decisions are made, the application should use a financial data model that can map cleanly to accounting entities such as customer, invoice, and payment.[cite:52][cite:63][cite:64][cite:66][cite:67][cite:69]</w:t>
      </w:r>
    </w:p>
    <w:p>
      <w:pPr>
        <w:spacing w:line="360" w:before="315" w:after="105" w:lineRule="auto"/>
        <w:ind w:left="-30"/>
        <w:jc w:val="left"/>
      </w:pPr>
      <w:bookmarkStart w:id="16" w:name="quickbooks_online_integration"/>
      <w:r>
        <w:rPr>
          <w:rFonts w:eastAsia="source serif 4" w:cs="source serif 4" w:ascii="source serif 4" w:hAnsi="source serif 4"/>
          <w:b/>
          <w:color w:val="000000"/>
          <w:sz w:val="24"/>
        </w:rPr>
        <w:t xml:space="preserve">QuickBooks Online integration</w:t>
      </w:r>
      <w:bookmarkEnd w:id="16"/>
    </w:p>
    <w:p>
      <w:pPr>
        <w:spacing w:line="360" w:after="210" w:lineRule="auto"/>
      </w:pPr>
      <w:r>
        <w:rPr>
          <w:rFonts w:eastAsia="source serif 4" w:cs="source serif 4" w:ascii="source serif 4" w:hAnsi="source serif 4"/>
          <w:color w:val="000000"/>
        </w:rPr>
        <w:t xml:space="preserve">The application must be designed to integrate with QuickBooks Online as the first external accounting integration, even if the exact synchronization policy is deferred. QuickBooks Online exposes accounting objects and operations for entities such as customers, invoices, and payments through its API, which makes customer, invoice, payment, and invoice-send workflows feasible integration targets.[cite:52][cite:63][cite:64][cite:66][cite:67][cite:69]</w:t>
      </w:r>
    </w:p>
    <w:p>
      <w:pPr>
        <w:spacing w:line="360" w:after="210" w:lineRule="auto"/>
      </w:pPr>
      <w:r>
        <w:rPr>
          <w:rFonts w:eastAsia="source serif 4" w:cs="source serif 4" w:ascii="source serif 4" w:hAnsi="source serif 4"/>
          <w:color w:val="000000"/>
        </w:rPr>
        <w:t xml:space="preserve">The initial requirements must therefore include:</w:t>
      </w:r>
    </w:p>
    <w:p>
      <w:pPr>
        <w:numPr>
          <w:ilvl w:val="0"/>
          <w:numId w:val="3"/>
        </w:numPr>
        <w:spacing w:line="360" w:before="105" w:after="105" w:lineRule="auto"/>
      </w:pPr>
      <w:r>
        <w:rPr>
          <w:rFonts w:eastAsia="source serif 4" w:cs="source serif 4" w:ascii="source serif 4" w:hAnsi="source serif 4"/>
          <w:color w:val="000000"/>
          <w:sz w:val="21"/>
        </w:rPr>
        <w:t xml:space="preserve">Storing QuickBooks connection metadata securely.</w:t>
      </w:r>
    </w:p>
    <w:p>
      <w:pPr>
        <w:numPr>
          <w:ilvl w:val="0"/>
          <w:numId w:val="3"/>
        </w:numPr>
        <w:spacing w:line="360" w:before="105" w:after="105" w:lineRule="auto"/>
      </w:pPr>
      <w:r>
        <w:rPr>
          <w:rFonts w:eastAsia="source serif 4" w:cs="source serif 4" w:ascii="source serif 4" w:hAnsi="source serif 4"/>
          <w:color w:val="000000"/>
          <w:sz w:val="21"/>
        </w:rPr>
        <w:t xml:space="preserve">Mapping internal client records to accounting customer records.</w:t>
      </w:r>
    </w:p>
    <w:p>
      <w:pPr>
        <w:numPr>
          <w:ilvl w:val="0"/>
          <w:numId w:val="3"/>
        </w:numPr>
        <w:spacing w:line="360" w:before="105" w:after="105" w:lineRule="auto"/>
      </w:pPr>
      <w:r>
        <w:rPr>
          <w:rFonts w:eastAsia="source serif 4" w:cs="source serif 4" w:ascii="source serif 4" w:hAnsi="source serif 4"/>
          <w:color w:val="000000"/>
          <w:sz w:val="21"/>
        </w:rPr>
        <w:t xml:space="preserve">Mapping services and taxes to compatible accounting representations.</w:t>
      </w:r>
    </w:p>
    <w:p>
      <w:pPr>
        <w:numPr>
          <w:ilvl w:val="0"/>
          <w:numId w:val="3"/>
        </w:numPr>
        <w:spacing w:line="360" w:before="105" w:after="105" w:lineRule="auto"/>
      </w:pPr>
      <w:r>
        <w:rPr>
          <w:rFonts w:eastAsia="source serif 4" w:cs="source serif 4" w:ascii="source serif 4" w:hAnsi="source serif 4"/>
          <w:color w:val="000000"/>
          <w:sz w:val="21"/>
        </w:rPr>
        <w:t xml:space="preserve">Supporting export or push of invoices and payments when the integration is enabled.</w:t>
      </w:r>
    </w:p>
    <w:p>
      <w:pPr>
        <w:numPr>
          <w:ilvl w:val="0"/>
          <w:numId w:val="3"/>
        </w:numPr>
        <w:spacing w:line="360" w:before="105" w:after="105" w:lineRule="auto"/>
      </w:pPr>
      <w:r>
        <w:rPr>
          <w:rFonts w:eastAsia="source serif 4" w:cs="source serif 4" w:ascii="source serif 4" w:hAnsi="source serif 4"/>
          <w:color w:val="000000"/>
          <w:sz w:val="21"/>
        </w:rPr>
        <w:t xml:space="preserve">Tracking synchronization status, errors, retries, and manual reconciliation needs.</w:t>
      </w:r>
    </w:p>
    <w:p>
      <w:pPr>
        <w:spacing w:line="360" w:before="315" w:after="105" w:lineRule="auto"/>
        <w:ind w:left="-30"/>
        <w:jc w:val="left"/>
      </w:pPr>
      <w:bookmarkStart w:id="17" w:name="reporting_and_operations"/>
      <w:r>
        <w:rPr>
          <w:rFonts w:eastAsia="source serif 4" w:cs="source serif 4" w:ascii="source serif 4" w:hAnsi="source serif 4"/>
          <w:b/>
          <w:color w:val="000000"/>
          <w:sz w:val="24"/>
        </w:rPr>
        <w:t xml:space="preserve">Reporting and operations</w:t>
      </w:r>
      <w:bookmarkEnd w:id="17"/>
    </w:p>
    <w:p>
      <w:pPr>
        <w:spacing w:line="360" w:after="210" w:lineRule="auto"/>
      </w:pPr>
      <w:r>
        <w:rPr>
          <w:rFonts w:eastAsia="source serif 4" w:cs="source serif 4" w:ascii="source serif 4" w:hAnsi="source serif 4"/>
          <w:color w:val="000000"/>
        </w:rPr>
        <w:t xml:space="preserve">The system should provide dashboards and reports for appointment volume, practitioner utilization, room utilization, cancellations, no-shows, reminders sent, waitlist conversions, invoice totals, payments collected, outstanding balances, and export activity. Reporting is operationally important because reminder effectiveness, waitlist recovery, and no-show reduction are measurable scheduling outcomes.[cite:58][cite:60][cite:68]</w:t>
      </w:r>
    </w:p>
    <w:p>
      <w:pPr>
        <w:spacing w:line="360" w:before="315" w:after="105" w:lineRule="auto"/>
        <w:ind w:left="-30"/>
        <w:jc w:val="left"/>
      </w:pPr>
      <w:bookmarkStart w:id="18" w:name="non_functional_requirements"/>
      <w:r>
        <w:rPr>
          <w:rFonts w:eastAsia="source serif 4" w:cs="source serif 4" w:ascii="source serif 4" w:hAnsi="source serif 4"/>
          <w:b/>
          <w:color w:val="000000"/>
          <w:sz w:val="24"/>
        </w:rPr>
        <w:t xml:space="preserve">Non-functional requirements</w:t>
      </w:r>
      <w:bookmarkEnd w:id="18"/>
    </w:p>
    <w:p>
      <w:pPr>
        <w:spacing w:line="360" w:before="315" w:after="105" w:lineRule="auto"/>
        <w:ind w:left="-30"/>
        <w:jc w:val="left"/>
      </w:pPr>
      <w:bookmarkStart w:id="19" w:name="security_and_privacy"/>
      <w:r>
        <w:rPr>
          <w:rFonts w:eastAsia="source serif 4" w:cs="source serif 4" w:ascii="source serif 4" w:hAnsi="source serif 4"/>
          <w:b/>
          <w:color w:val="000000"/>
          <w:sz w:val="24"/>
        </w:rPr>
        <w:t xml:space="preserve">Security and privacy</w:t>
      </w:r>
      <w:bookmarkEnd w:id="19"/>
    </w:p>
    <w:p>
      <w:pPr>
        <w:spacing w:line="360" w:after="210" w:lineRule="auto"/>
      </w:pPr>
      <w:r>
        <w:rPr>
          <w:rFonts w:eastAsia="source serif 4" w:cs="source serif 4" w:ascii="source serif 4" w:hAnsi="source serif 4"/>
          <w:color w:val="000000"/>
        </w:rPr>
        <w:t xml:space="preserve">The application must be designed with privacy by default and least-privilege access. PIPEDA principles require the organization to identify purposes for collection, obtain consent, limit collection, limit use and retention, apply safeguards, maintain openness, and support individual access and challenge rights.[cite:56][cite:57][cite:59]</w:t>
      </w:r>
    </w:p>
    <w:p>
      <w:pPr>
        <w:spacing w:line="360" w:after="210" w:lineRule="auto"/>
      </w:pPr>
      <w:r>
        <w:rPr>
          <w:rFonts w:eastAsia="source serif 4" w:cs="source serif 4" w:ascii="source serif 4" w:hAnsi="source serif 4"/>
          <w:color w:val="000000"/>
        </w:rPr>
        <w:t xml:space="preserve">The system must therefore include encrypted transport, secure credential storage, role-based access control, audit logs, configurable retention policies, export and deletion workflows where legally permitted, privacy-policy support, consent capture, and breach-response readiness. A designated privacy-responsible role should exist at the business level because accountability is a core privacy principle.[cite:56][cite:59][cite:62][cite:65]</w:t>
      </w:r>
    </w:p>
    <w:p>
      <w:pPr>
        <w:spacing w:line="360" w:after="210" w:lineRule="auto"/>
      </w:pPr>
      <w:r>
        <w:rPr>
          <w:rFonts w:eastAsia="source serif 4" w:cs="source serif 4" w:ascii="source serif 4" w:hAnsi="source serif 4"/>
          <w:color w:val="000000"/>
        </w:rPr>
        <w:t xml:space="preserve">The platform should store only data that is legally permitted and operationally required, and should separate highly sensitive notes from routine scheduling information where possible. The system should be architected to support future HIPAA-oriented controls for U.S. expansion, even though the initial market is Canada.[cite:62][cite:65]</w:t>
      </w:r>
    </w:p>
    <w:p>
      <w:pPr>
        <w:spacing w:line="360" w:before="315" w:after="105" w:lineRule="auto"/>
        <w:ind w:left="-30"/>
        <w:jc w:val="left"/>
      </w:pPr>
      <w:bookmarkStart w:id="20" w:name="performance_and_reliability"/>
      <w:r>
        <w:rPr>
          <w:rFonts w:eastAsia="source serif 4" w:cs="source serif 4" w:ascii="source serif 4" w:hAnsi="source serif 4"/>
          <w:b/>
          <w:color w:val="000000"/>
          <w:sz w:val="24"/>
        </w:rPr>
        <w:t xml:space="preserve">Performance and reliability</w:t>
      </w:r>
      <w:bookmarkEnd w:id="20"/>
    </w:p>
    <w:p>
      <w:pPr>
        <w:spacing w:line="360" w:after="210" w:lineRule="auto"/>
      </w:pPr>
      <w:r>
        <w:rPr>
          <w:rFonts w:eastAsia="source serif 4" w:cs="source serif 4" w:ascii="source serif 4" w:hAnsi="source serif 4"/>
          <w:color w:val="000000"/>
        </w:rPr>
        <w:t xml:space="preserve">The booking experience must present available times quickly enough to feel real-time to the client and staff user. Appointment creation, cancellation, and reminder job execution must be transactionally safe so that double-booking does not occur.</w:t>
      </w:r>
    </w:p>
    <w:p>
      <w:pPr>
        <w:spacing w:line="360" w:after="210" w:lineRule="auto"/>
      </w:pPr>
      <w:r>
        <w:rPr>
          <w:rFonts w:eastAsia="source serif 4" w:cs="source serif 4" w:ascii="source serif 4" w:hAnsi="source serif 4"/>
          <w:color w:val="000000"/>
        </w:rPr>
        <w:t xml:space="preserve">The platform must support concurrent public availability browsing, staff booking activity, background reminder processing, and invoice generation without corrupting schedule data. The API should provide strong validation and idempotent behavior for critical booking and payment operations.</w:t>
      </w:r>
    </w:p>
    <w:p>
      <w:pPr>
        <w:spacing w:line="360" w:before="315" w:after="105" w:lineRule="auto"/>
        <w:ind w:left="-30"/>
        <w:jc w:val="left"/>
      </w:pPr>
      <w:bookmarkStart w:id="21" w:name="accessibility_and_usability"/>
      <w:r>
        <w:rPr>
          <w:rFonts w:eastAsia="source serif 4" w:cs="source serif 4" w:ascii="source serif 4" w:hAnsi="source serif 4"/>
          <w:b/>
          <w:color w:val="000000"/>
          <w:sz w:val="24"/>
        </w:rPr>
        <w:t xml:space="preserve">Accessibility and usability</w:t>
      </w:r>
      <w:bookmarkEnd w:id="21"/>
    </w:p>
    <w:p>
      <w:pPr>
        <w:spacing w:line="360" w:after="210" w:lineRule="auto"/>
      </w:pPr>
      <w:r>
        <w:rPr>
          <w:rFonts w:eastAsia="source serif 4" w:cs="source serif 4" w:ascii="source serif 4" w:hAnsi="source serif 4"/>
          <w:color w:val="000000"/>
        </w:rPr>
        <w:t xml:space="preserve">The web app must be responsive and mobile-capable, with accessible forms, keyboard navigation, readable reminders, and clear feedback for validation errors. Because the booking flow targets public users as well as staff, the UX should optimize for simple self-service while still supporting more complex internal workflows.</w:t>
      </w:r>
    </w:p>
    <w:p>
      <w:pPr>
        <w:spacing w:line="360" w:before="315" w:after="105" w:lineRule="auto"/>
        <w:ind w:left="-30"/>
        <w:jc w:val="left"/>
      </w:pPr>
      <w:bookmarkStart w:id="22" w:name="integrations"/>
      <w:r>
        <w:rPr>
          <w:rFonts w:eastAsia="source serif 4" w:cs="source serif 4" w:ascii="source serif 4" w:hAnsi="source serif 4"/>
          <w:b/>
          <w:color w:val="000000"/>
          <w:sz w:val="24"/>
        </w:rPr>
        <w:t xml:space="preserve">Integrations</w:t>
      </w:r>
      <w:bookmarkEnd w:id="22"/>
    </w:p>
    <w:p>
      <w:pPr>
        <w:spacing w:line="360" w:before="315" w:after="105" w:lineRule="auto"/>
        <w:ind w:left="-30"/>
        <w:jc w:val="left"/>
      </w:pPr>
      <w:bookmarkStart w:id="23" w:name="identity_providers"/>
      <w:r>
        <w:rPr>
          <w:rFonts w:eastAsia="source serif 4" w:cs="source serif 4" w:ascii="source serif 4" w:hAnsi="source serif 4"/>
          <w:b/>
          <w:color w:val="000000"/>
          <w:sz w:val="24"/>
        </w:rPr>
        <w:t xml:space="preserve">Identity providers</w:t>
      </w:r>
      <w:bookmarkEnd w:id="23"/>
    </w:p>
    <w:p>
      <w:pPr>
        <w:spacing w:line="360" w:after="210" w:lineRule="auto"/>
      </w:pPr>
      <w:r>
        <w:rPr>
          <w:rFonts w:eastAsia="source serif 4" w:cs="source serif 4" w:ascii="source serif 4" w:hAnsi="source serif 4"/>
          <w:color w:val="000000"/>
        </w:rPr>
        <w:t xml:space="preserve">The client-facing application must support social sign-in providers including Google, Microsoft, and Meta-compatible login options. Provider implementations must follow current OAuth and authorization best practices, including secure flows, minimal scopes, protected tokens, and provider-policy compliance.[cite:49][cite:51][cite:53][cite:54][cite:55]</w:t>
      </w:r>
    </w:p>
    <w:p>
      <w:pPr>
        <w:spacing w:line="360" w:before="315" w:after="105" w:lineRule="auto"/>
        <w:ind w:left="-30"/>
        <w:jc w:val="left"/>
      </w:pPr>
      <w:bookmarkStart w:id="24" w:name="accounting_integration"/>
      <w:r>
        <w:rPr>
          <w:rFonts w:eastAsia="source serif 4" w:cs="source serif 4" w:ascii="source serif 4" w:hAnsi="source serif 4"/>
          <w:b/>
          <w:color w:val="000000"/>
          <w:sz w:val="24"/>
        </w:rPr>
        <w:t xml:space="preserve">Accounting integration</w:t>
      </w:r>
      <w:bookmarkEnd w:id="24"/>
    </w:p>
    <w:p>
      <w:pPr>
        <w:spacing w:line="360" w:after="210" w:lineRule="auto"/>
      </w:pPr>
      <w:r>
        <w:rPr>
          <w:rFonts w:eastAsia="source serif 4" w:cs="source serif 4" w:ascii="source serif 4" w:hAnsi="source serif 4"/>
          <w:color w:val="000000"/>
        </w:rPr>
        <w:t xml:space="preserve">The first accounting integration target is QuickBooks Online. The requirements should assume future support for customer synchronization, invoice creation, payment synchronization, invoice delivery options, sync-state tracking, and operational reconciliation workflows.[cite:52][cite:63][cite:64][cite:66][cite:67][cite:69]</w:t>
      </w:r>
    </w:p>
    <w:p>
      <w:pPr>
        <w:spacing w:line="360" w:before="315" w:after="105" w:lineRule="auto"/>
        <w:ind w:left="-30"/>
        <w:jc w:val="left"/>
      </w:pPr>
      <w:bookmarkStart w:id="25" w:name="communication_services"/>
      <w:r>
        <w:rPr>
          <w:rFonts w:eastAsia="source serif 4" w:cs="source serif 4" w:ascii="source serif 4" w:hAnsi="source serif 4"/>
          <w:b/>
          <w:color w:val="000000"/>
          <w:sz w:val="24"/>
        </w:rPr>
        <w:t xml:space="preserve">Communication services</w:t>
      </w:r>
      <w:bookmarkEnd w:id="25"/>
    </w:p>
    <w:p>
      <w:pPr>
        <w:spacing w:line="360" w:after="210" w:lineRule="auto"/>
      </w:pPr>
      <w:r>
        <w:rPr>
          <w:rFonts w:eastAsia="source serif 4" w:cs="source serif 4" w:ascii="source serif 4" w:hAnsi="source serif 4"/>
          <w:color w:val="000000"/>
        </w:rPr>
        <w:t xml:space="preserve">The initial communication mechanism is email. The architecture should abstract notifications so SMS can be introduced later without major redesign, because reminder operations often evolve toward multi-channel communication in scheduling products.[cite:58][cite:61][cite:68]</w:t>
      </w:r>
    </w:p>
    <w:p>
      <w:pPr>
        <w:spacing w:line="360" w:before="315" w:after="105" w:lineRule="auto"/>
        <w:ind w:left="-30"/>
        <w:jc w:val="left"/>
      </w:pPr>
      <w:bookmarkStart w:id="26" w:name="data_model"/>
      <w:r>
        <w:rPr>
          <w:rFonts w:eastAsia="source serif 4" w:cs="source serif 4" w:ascii="source serif 4" w:hAnsi="source serif 4"/>
          <w:b/>
          <w:color w:val="000000"/>
          <w:sz w:val="24"/>
        </w:rPr>
        <w:t xml:space="preserve">Data model</w:t>
      </w:r>
      <w:bookmarkEnd w:id="26"/>
    </w:p>
    <w:p>
      <w:pPr>
        <w:spacing w:line="360" w:after="210" w:lineRule="auto"/>
      </w:pPr>
      <w:r>
        <w:rPr>
          <w:rFonts w:eastAsia="source serif 4" w:cs="source serif 4" w:ascii="source serif 4" w:hAnsi="source serif 4"/>
          <w:color w:val="000000"/>
        </w:rPr>
        <w:t xml:space="preserve">The backend data model must support, at minimum, the following entities:</w:t>
      </w:r>
    </w:p>
    <w:p>
      <w:pPr>
        <w:numPr>
          <w:ilvl w:val="0"/>
          <w:numId w:val="4"/>
        </w:numPr>
        <w:spacing w:line="360" w:before="105" w:after="105" w:lineRule="auto"/>
      </w:pPr>
      <w:r>
        <w:rPr>
          <w:rFonts w:eastAsia="source serif 4" w:cs="source serif 4" w:ascii="source serif 4" w:hAnsi="source serif 4"/>
          <w:color w:val="000000"/>
          <w:sz w:val="21"/>
        </w:rPr>
        <w:t xml:space="preserve">Users</w:t>
      </w:r>
    </w:p>
    <w:p>
      <w:pPr>
        <w:numPr>
          <w:ilvl w:val="0"/>
          <w:numId w:val="4"/>
        </w:numPr>
        <w:spacing w:line="360" w:before="105" w:after="105" w:lineRule="auto"/>
      </w:pPr>
      <w:r>
        <w:rPr>
          <w:rFonts w:eastAsia="source serif 4" w:cs="source serif 4" w:ascii="source serif 4" w:hAnsi="source serif 4"/>
          <w:color w:val="000000"/>
          <w:sz w:val="21"/>
        </w:rPr>
        <w:t xml:space="preserve">Roles</w:t>
      </w:r>
    </w:p>
    <w:p>
      <w:pPr>
        <w:numPr>
          <w:ilvl w:val="0"/>
          <w:numId w:val="4"/>
        </w:numPr>
        <w:spacing w:line="360" w:before="105" w:after="105" w:lineRule="auto"/>
      </w:pPr>
      <w:r>
        <w:rPr>
          <w:rFonts w:eastAsia="source serif 4" w:cs="source serif 4" w:ascii="source serif 4" w:hAnsi="source serif 4"/>
          <w:color w:val="000000"/>
          <w:sz w:val="21"/>
        </w:rPr>
        <w:t xml:space="preserve">Staff accounts</w:t>
      </w:r>
    </w:p>
    <w:p>
      <w:pPr>
        <w:numPr>
          <w:ilvl w:val="0"/>
          <w:numId w:val="4"/>
        </w:numPr>
        <w:spacing w:line="360" w:before="105" w:after="105" w:lineRule="auto"/>
      </w:pPr>
      <w:r>
        <w:rPr>
          <w:rFonts w:eastAsia="source serif 4" w:cs="source serif 4" w:ascii="source serif 4" w:hAnsi="source serif 4"/>
          <w:color w:val="000000"/>
          <w:sz w:val="21"/>
        </w:rPr>
        <w:t xml:space="preserve">Client identities</w:t>
      </w:r>
    </w:p>
    <w:p>
      <w:pPr>
        <w:numPr>
          <w:ilvl w:val="0"/>
          <w:numId w:val="4"/>
        </w:numPr>
        <w:spacing w:line="360" w:before="105" w:after="105" w:lineRule="auto"/>
      </w:pPr>
      <w:r>
        <w:rPr>
          <w:rFonts w:eastAsia="source serif 4" w:cs="source serif 4" w:ascii="source serif 4" w:hAnsi="source serif 4"/>
          <w:color w:val="000000"/>
          <w:sz w:val="21"/>
        </w:rPr>
        <w:t xml:space="preserve">Social identity links</w:t>
      </w:r>
    </w:p>
    <w:p>
      <w:pPr>
        <w:numPr>
          <w:ilvl w:val="0"/>
          <w:numId w:val="4"/>
        </w:numPr>
        <w:spacing w:line="360" w:before="105" w:after="105" w:lineRule="auto"/>
      </w:pPr>
      <w:r>
        <w:rPr>
          <w:rFonts w:eastAsia="source serif 4" w:cs="source serif 4" w:ascii="source serif 4" w:hAnsi="source serif 4"/>
          <w:color w:val="000000"/>
          <w:sz w:val="21"/>
        </w:rPr>
        <w:t xml:space="preserve">Practitioners</w:t>
      </w:r>
    </w:p>
    <w:p>
      <w:pPr>
        <w:numPr>
          <w:ilvl w:val="0"/>
          <w:numId w:val="4"/>
        </w:numPr>
        <w:spacing w:line="360" w:before="105" w:after="105" w:lineRule="auto"/>
      </w:pPr>
      <w:r>
        <w:rPr>
          <w:rFonts w:eastAsia="source serif 4" w:cs="source serif 4" w:ascii="source serif 4" w:hAnsi="source serif 4"/>
          <w:color w:val="000000"/>
          <w:sz w:val="21"/>
        </w:rPr>
        <w:t xml:space="preserve">Practitioner forms</w:t>
      </w:r>
    </w:p>
    <w:p>
      <w:pPr>
        <w:numPr>
          <w:ilvl w:val="0"/>
          <w:numId w:val="4"/>
        </w:numPr>
        <w:spacing w:line="360" w:before="105" w:after="105" w:lineRule="auto"/>
      </w:pPr>
      <w:r>
        <w:rPr>
          <w:rFonts w:eastAsia="source serif 4" w:cs="source serif 4" w:ascii="source serif 4" w:hAnsi="source serif 4"/>
          <w:color w:val="000000"/>
          <w:sz w:val="21"/>
        </w:rPr>
        <w:t xml:space="preserve">Services</w:t>
      </w:r>
    </w:p>
    <w:p>
      <w:pPr>
        <w:numPr>
          <w:ilvl w:val="0"/>
          <w:numId w:val="4"/>
        </w:numPr>
        <w:spacing w:line="360" w:before="105" w:after="105" w:lineRule="auto"/>
      </w:pPr>
      <w:r>
        <w:rPr>
          <w:rFonts w:eastAsia="source serif 4" w:cs="source serif 4" w:ascii="source serif 4" w:hAnsi="source serif 4"/>
          <w:color w:val="000000"/>
          <w:sz w:val="21"/>
        </w:rPr>
        <w:t xml:space="preserve">Service duration options</w:t>
      </w:r>
    </w:p>
    <w:p>
      <w:pPr>
        <w:numPr>
          <w:ilvl w:val="0"/>
          <w:numId w:val="4"/>
        </w:numPr>
        <w:spacing w:line="360" w:before="105" w:after="105" w:lineRule="auto"/>
      </w:pPr>
      <w:r>
        <w:rPr>
          <w:rFonts w:eastAsia="source serif 4" w:cs="source serif 4" w:ascii="source serif 4" w:hAnsi="source serif 4"/>
          <w:color w:val="000000"/>
          <w:sz w:val="21"/>
        </w:rPr>
        <w:t xml:space="preserve">Rooms</w:t>
      </w:r>
    </w:p>
    <w:p>
      <w:pPr>
        <w:numPr>
          <w:ilvl w:val="0"/>
          <w:numId w:val="4"/>
        </w:numPr>
        <w:spacing w:line="360" w:before="105" w:after="105" w:lineRule="auto"/>
      </w:pPr>
      <w:r>
        <w:rPr>
          <w:rFonts w:eastAsia="source serif 4" w:cs="source serif 4" w:ascii="source serif 4" w:hAnsi="source serif 4"/>
          <w:color w:val="000000"/>
          <w:sz w:val="21"/>
        </w:rPr>
        <w:t xml:space="preserve">Room capabilities</w:t>
      </w:r>
    </w:p>
    <w:p>
      <w:pPr>
        <w:numPr>
          <w:ilvl w:val="0"/>
          <w:numId w:val="4"/>
        </w:numPr>
        <w:spacing w:line="360" w:before="105" w:after="105" w:lineRule="auto"/>
      </w:pPr>
      <w:r>
        <w:rPr>
          <w:rFonts w:eastAsia="source serif 4" w:cs="source serif 4" w:ascii="source serif 4" w:hAnsi="source serif 4"/>
          <w:color w:val="000000"/>
          <w:sz w:val="21"/>
        </w:rPr>
        <w:t xml:space="preserve">Locations</w:t>
      </w:r>
    </w:p>
    <w:p>
      <w:pPr>
        <w:numPr>
          <w:ilvl w:val="0"/>
          <w:numId w:val="4"/>
        </w:numPr>
        <w:spacing w:line="360" w:before="105" w:after="105" w:lineRule="auto"/>
      </w:pPr>
      <w:r>
        <w:rPr>
          <w:rFonts w:eastAsia="source serif 4" w:cs="source serif 4" w:ascii="source serif 4" w:hAnsi="source serif 4"/>
          <w:color w:val="000000"/>
          <w:sz w:val="21"/>
        </w:rPr>
        <w:t xml:space="preserve">Practitioner availability rules</w:t>
      </w:r>
    </w:p>
    <w:p>
      <w:pPr>
        <w:numPr>
          <w:ilvl w:val="0"/>
          <w:numId w:val="4"/>
        </w:numPr>
        <w:spacing w:line="360" w:before="105" w:after="105" w:lineRule="auto"/>
      </w:pPr>
      <w:r>
        <w:rPr>
          <w:rFonts w:eastAsia="source serif 4" w:cs="source serif 4" w:ascii="source serif 4" w:hAnsi="source serif 4"/>
          <w:color w:val="000000"/>
          <w:sz w:val="21"/>
        </w:rPr>
        <w:t xml:space="preserve">Practitioner time-off records</w:t>
      </w:r>
    </w:p>
    <w:p>
      <w:pPr>
        <w:numPr>
          <w:ilvl w:val="0"/>
          <w:numId w:val="4"/>
        </w:numPr>
        <w:spacing w:line="360" w:before="105" w:after="105" w:lineRule="auto"/>
      </w:pPr>
      <w:r>
        <w:rPr>
          <w:rFonts w:eastAsia="source serif 4" w:cs="source serif 4" w:ascii="source serif 4" w:hAnsi="source serif 4"/>
          <w:color w:val="000000"/>
          <w:sz w:val="21"/>
        </w:rPr>
        <w:t xml:space="preserve">Imported calendar entries</w:t>
      </w:r>
    </w:p>
    <w:p>
      <w:pPr>
        <w:numPr>
          <w:ilvl w:val="0"/>
          <w:numId w:val="4"/>
        </w:numPr>
        <w:spacing w:line="360" w:before="105" w:after="105" w:lineRule="auto"/>
      </w:pPr>
      <w:r>
        <w:rPr>
          <w:rFonts w:eastAsia="source serif 4" w:cs="source serif 4" w:ascii="source serif 4" w:hAnsi="source serif 4"/>
          <w:color w:val="000000"/>
          <w:sz w:val="21"/>
        </w:rPr>
        <w:t xml:space="preserve">Appointments</w:t>
      </w:r>
    </w:p>
    <w:p>
      <w:pPr>
        <w:numPr>
          <w:ilvl w:val="0"/>
          <w:numId w:val="4"/>
        </w:numPr>
        <w:spacing w:line="360" w:before="105" w:after="105" w:lineRule="auto"/>
      </w:pPr>
      <w:r>
        <w:rPr>
          <w:rFonts w:eastAsia="source serif 4" w:cs="source serif 4" w:ascii="source serif 4" w:hAnsi="source serif 4"/>
          <w:color w:val="000000"/>
          <w:sz w:val="21"/>
        </w:rPr>
        <w:t xml:space="preserve">Appointment attendees</w:t>
      </w:r>
    </w:p>
    <w:p>
      <w:pPr>
        <w:numPr>
          <w:ilvl w:val="0"/>
          <w:numId w:val="4"/>
        </w:numPr>
        <w:spacing w:line="360" w:before="105" w:after="105" w:lineRule="auto"/>
      </w:pPr>
      <w:r>
        <w:rPr>
          <w:rFonts w:eastAsia="source serif 4" w:cs="source serif 4" w:ascii="source serif 4" w:hAnsi="source serif 4"/>
          <w:color w:val="000000"/>
          <w:sz w:val="21"/>
        </w:rPr>
        <w:t xml:space="preserve">Appointment status history</w:t>
      </w:r>
    </w:p>
    <w:p>
      <w:pPr>
        <w:numPr>
          <w:ilvl w:val="0"/>
          <w:numId w:val="4"/>
        </w:numPr>
        <w:spacing w:line="360" w:before="105" w:after="105" w:lineRule="auto"/>
      </w:pPr>
      <w:r>
        <w:rPr>
          <w:rFonts w:eastAsia="source serif 4" w:cs="source serif 4" w:ascii="source serif 4" w:hAnsi="source serif 4"/>
          <w:color w:val="000000"/>
          <w:sz w:val="21"/>
        </w:rPr>
        <w:t xml:space="preserve">Waitlist entries</w:t>
      </w:r>
    </w:p>
    <w:p>
      <w:pPr>
        <w:numPr>
          <w:ilvl w:val="0"/>
          <w:numId w:val="4"/>
        </w:numPr>
        <w:spacing w:line="360" w:before="105" w:after="105" w:lineRule="auto"/>
      </w:pPr>
      <w:r>
        <w:rPr>
          <w:rFonts w:eastAsia="source serif 4" w:cs="source serif 4" w:ascii="source serif 4" w:hAnsi="source serif 4"/>
          <w:color w:val="000000"/>
          <w:sz w:val="21"/>
        </w:rPr>
        <w:t xml:space="preserve">Notification templates</w:t>
      </w:r>
    </w:p>
    <w:p>
      <w:pPr>
        <w:numPr>
          <w:ilvl w:val="0"/>
          <w:numId w:val="4"/>
        </w:numPr>
        <w:spacing w:line="360" w:before="105" w:after="105" w:lineRule="auto"/>
      </w:pPr>
      <w:r>
        <w:rPr>
          <w:rFonts w:eastAsia="source serif 4" w:cs="source serif 4" w:ascii="source serif 4" w:hAnsi="source serif 4"/>
          <w:color w:val="000000"/>
          <w:sz w:val="21"/>
        </w:rPr>
        <w:t xml:space="preserve">Notification events</w:t>
      </w:r>
    </w:p>
    <w:p>
      <w:pPr>
        <w:numPr>
          <w:ilvl w:val="0"/>
          <w:numId w:val="4"/>
        </w:numPr>
        <w:spacing w:line="360" w:before="105" w:after="105" w:lineRule="auto"/>
      </w:pPr>
      <w:r>
        <w:rPr>
          <w:rFonts w:eastAsia="source serif 4" w:cs="source serif 4" w:ascii="source serif 4" w:hAnsi="source serif 4"/>
          <w:color w:val="000000"/>
          <w:sz w:val="21"/>
        </w:rPr>
        <w:t xml:space="preserve">Reminder schedules</w:t>
      </w:r>
    </w:p>
    <w:p>
      <w:pPr>
        <w:numPr>
          <w:ilvl w:val="0"/>
          <w:numId w:val="4"/>
        </w:numPr>
        <w:spacing w:line="360" w:before="105" w:after="105" w:lineRule="auto"/>
      </w:pPr>
      <w:r>
        <w:rPr>
          <w:rFonts w:eastAsia="source serif 4" w:cs="source serif 4" w:ascii="source serif 4" w:hAnsi="source serif 4"/>
          <w:color w:val="000000"/>
          <w:sz w:val="21"/>
        </w:rPr>
        <w:t xml:space="preserve">Invoices</w:t>
      </w:r>
    </w:p>
    <w:p>
      <w:pPr>
        <w:numPr>
          <w:ilvl w:val="0"/>
          <w:numId w:val="4"/>
        </w:numPr>
        <w:spacing w:line="360" w:before="105" w:after="105" w:lineRule="auto"/>
      </w:pPr>
      <w:r>
        <w:rPr>
          <w:rFonts w:eastAsia="source serif 4" w:cs="source serif 4" w:ascii="source serif 4" w:hAnsi="source serif 4"/>
          <w:color w:val="000000"/>
          <w:sz w:val="21"/>
        </w:rPr>
        <w:t xml:space="preserve">Invoice line items</w:t>
      </w:r>
    </w:p>
    <w:p>
      <w:pPr>
        <w:numPr>
          <w:ilvl w:val="0"/>
          <w:numId w:val="4"/>
        </w:numPr>
        <w:spacing w:line="360" w:before="105" w:after="105" w:lineRule="auto"/>
      </w:pPr>
      <w:r>
        <w:rPr>
          <w:rFonts w:eastAsia="source serif 4" w:cs="source serif 4" w:ascii="source serif 4" w:hAnsi="source serif 4"/>
          <w:color w:val="000000"/>
          <w:sz w:val="21"/>
        </w:rPr>
        <w:t xml:space="preserve">Payments</w:t>
      </w:r>
    </w:p>
    <w:p>
      <w:pPr>
        <w:numPr>
          <w:ilvl w:val="0"/>
          <w:numId w:val="4"/>
        </w:numPr>
        <w:spacing w:line="360" w:before="105" w:after="105" w:lineRule="auto"/>
      </w:pPr>
      <w:r>
        <w:rPr>
          <w:rFonts w:eastAsia="source serif 4" w:cs="source serif 4" w:ascii="source serif 4" w:hAnsi="source serif 4"/>
          <w:color w:val="000000"/>
          <w:sz w:val="21"/>
        </w:rPr>
        <w:t xml:space="preserve">Taxes</w:t>
      </w:r>
    </w:p>
    <w:p>
      <w:pPr>
        <w:numPr>
          <w:ilvl w:val="0"/>
          <w:numId w:val="4"/>
        </w:numPr>
        <w:spacing w:line="360" w:before="105" w:after="105" w:lineRule="auto"/>
      </w:pPr>
      <w:r>
        <w:rPr>
          <w:rFonts w:eastAsia="source serif 4" w:cs="source serif 4" w:ascii="source serif 4" w:hAnsi="source serif 4"/>
          <w:color w:val="000000"/>
          <w:sz w:val="21"/>
        </w:rPr>
        <w:t xml:space="preserve">Refunds</w:t>
      </w:r>
    </w:p>
    <w:p>
      <w:pPr>
        <w:numPr>
          <w:ilvl w:val="0"/>
          <w:numId w:val="4"/>
        </w:numPr>
        <w:spacing w:line="360" w:before="105" w:after="105" w:lineRule="auto"/>
      </w:pPr>
      <w:r>
        <w:rPr>
          <w:rFonts w:eastAsia="source serif 4" w:cs="source serif 4" w:ascii="source serif 4" w:hAnsi="source serif 4"/>
          <w:color w:val="000000"/>
          <w:sz w:val="21"/>
        </w:rPr>
        <w:t xml:space="preserve">Accounting sync records</w:t>
      </w:r>
    </w:p>
    <w:p>
      <w:pPr>
        <w:numPr>
          <w:ilvl w:val="0"/>
          <w:numId w:val="4"/>
        </w:numPr>
        <w:spacing w:line="360" w:before="105" w:after="105" w:lineRule="auto"/>
      </w:pPr>
      <w:r>
        <w:rPr>
          <w:rFonts w:eastAsia="source serif 4" w:cs="source serif 4" w:ascii="source serif 4" w:hAnsi="source serif 4"/>
          <w:color w:val="000000"/>
          <w:sz w:val="21"/>
        </w:rPr>
        <w:t xml:space="preserve">Audit logs</w:t>
      </w:r>
    </w:p>
    <w:p>
      <w:pPr>
        <w:numPr>
          <w:ilvl w:val="0"/>
          <w:numId w:val="4"/>
        </w:numPr>
        <w:spacing w:line="360" w:before="105" w:after="105" w:lineRule="auto"/>
      </w:pPr>
      <w:r>
        <w:rPr>
          <w:rFonts w:eastAsia="source serif 4" w:cs="source serif 4" w:ascii="source serif 4" w:hAnsi="source serif 4"/>
          <w:color w:val="000000"/>
          <w:sz w:val="21"/>
        </w:rPr>
        <w:t xml:space="preserve">Consent records</w:t>
      </w:r>
    </w:p>
    <w:p>
      <w:pPr>
        <w:numPr>
          <w:ilvl w:val="0"/>
          <w:numId w:val="4"/>
        </w:numPr>
        <w:spacing w:line="360" w:before="105" w:after="105" w:lineRule="auto"/>
      </w:pPr>
      <w:r>
        <w:rPr>
          <w:rFonts w:eastAsia="source serif 4" w:cs="source serif 4" w:ascii="source serif 4" w:hAnsi="source serif 4"/>
          <w:color w:val="000000"/>
          <w:sz w:val="21"/>
        </w:rPr>
        <w:t xml:space="preserve">Data export requests</w:t>
      </w:r>
    </w:p>
    <w:p>
      <w:pPr>
        <w:spacing w:line="360" w:after="210" w:lineRule="auto"/>
      </w:pPr>
      <w:r>
        <w:rPr>
          <w:rFonts w:eastAsia="source serif 4" w:cs="source serif 4" w:ascii="source serif 4" w:hAnsi="source serif 4"/>
          <w:color w:val="000000"/>
        </w:rPr>
        <w:t xml:space="preserve">The schema must support strong referential integrity and a clean separation between operational scheduling data, financial data, identity data, and compliance/audit data.</w:t>
      </w:r>
    </w:p>
    <w:p>
      <w:pPr>
        <w:spacing w:line="360" w:before="315" w:after="105" w:lineRule="auto"/>
        <w:ind w:left="-30"/>
        <w:jc w:val="left"/>
      </w:pPr>
      <w:bookmarkStart w:id="27" w:name="api_requirements"/>
      <w:r>
        <w:rPr>
          <w:rFonts w:eastAsia="source serif 4" w:cs="source serif 4" w:ascii="source serif 4" w:hAnsi="source serif 4"/>
          <w:b/>
          <w:color w:val="000000"/>
          <w:sz w:val="24"/>
        </w:rPr>
        <w:t xml:space="preserve">API requirements</w:t>
      </w:r>
      <w:bookmarkEnd w:id="27"/>
    </w:p>
    <w:p>
      <w:pPr>
        <w:spacing w:line="360" w:before="315" w:after="105" w:lineRule="auto"/>
        <w:ind w:left="-30"/>
        <w:jc w:val="left"/>
      </w:pPr>
      <w:bookmarkStart w:id="28" w:name="api_architecture"/>
      <w:r>
        <w:rPr>
          <w:rFonts w:eastAsia="source serif 4" w:cs="source serif 4" w:ascii="source serif 4" w:hAnsi="source serif 4"/>
          <w:b/>
          <w:color w:val="000000"/>
          <w:sz w:val="24"/>
        </w:rPr>
        <w:t xml:space="preserve">API architecture</w:t>
      </w:r>
      <w:bookmarkEnd w:id="28"/>
    </w:p>
    <w:p>
      <w:pPr>
        <w:spacing w:line="360" w:after="210" w:lineRule="auto"/>
      </w:pPr>
      <w:r>
        <w:rPr>
          <w:rFonts w:eastAsia="source serif 4" w:cs="source serif 4" w:ascii="source serif 4" w:hAnsi="source serif 4"/>
          <w:color w:val="000000"/>
        </w:rPr>
        <w:t xml:space="preserve">The system will use a companion API application built in PHP with MySQL as the backend database. The API is an internal service only and is not intended for third-party public use.</w:t>
      </w:r>
    </w:p>
    <w:p>
      <w:pPr>
        <w:spacing w:line="360" w:after="210" w:lineRule="auto"/>
      </w:pPr>
      <w:r>
        <w:rPr>
          <w:rFonts w:eastAsia="source serif 4" w:cs="source serif 4" w:ascii="source serif 4" w:hAnsi="source serif 4"/>
          <w:color w:val="000000"/>
        </w:rPr>
        <w:t xml:space="preserve">The API must expose versioned endpoints for authentication, practitioner management, room management, availability, service catalog, bookings, cancellations, recurring appointments, waitlists, forms, reminders, invoices, payments, exports, and administrative reporting. It should use structured validation, standardized error responses, pagination, filtering, and audit logging for sensitive operations.</w:t>
      </w:r>
    </w:p>
    <w:p>
      <w:pPr>
        <w:spacing w:line="360" w:before="315" w:after="105" w:lineRule="auto"/>
        <w:ind w:left="-30"/>
        <w:jc w:val="left"/>
      </w:pPr>
      <w:bookmarkStart w:id="29" w:name="api_security"/>
      <w:r>
        <w:rPr>
          <w:rFonts w:eastAsia="source serif 4" w:cs="source serif 4" w:ascii="source serif 4" w:hAnsi="source serif 4"/>
          <w:b/>
          <w:color w:val="000000"/>
          <w:sz w:val="24"/>
        </w:rPr>
        <w:t xml:space="preserve">API security</w:t>
      </w:r>
      <w:bookmarkEnd w:id="29"/>
    </w:p>
    <w:p>
      <w:pPr>
        <w:spacing w:line="360" w:after="210" w:lineRule="auto"/>
      </w:pPr>
      <w:r>
        <w:rPr>
          <w:rFonts w:eastAsia="source serif 4" w:cs="source serif 4" w:ascii="source serif 4" w:hAnsi="source serif 4"/>
          <w:color w:val="000000"/>
        </w:rPr>
        <w:t xml:space="preserve">The API must enforce authentication and authorization for every protected endpoint. Public endpoints may expose sanitized availability data only, while any booking finalization, client-data retrieval, billing action, or staff operation must require authenticated and authorized access.</w:t>
      </w:r>
    </w:p>
    <w:p>
      <w:pPr>
        <w:spacing w:line="360" w:after="210" w:lineRule="auto"/>
      </w:pPr>
      <w:r>
        <w:rPr>
          <w:rFonts w:eastAsia="source serif 4" w:cs="source serif 4" w:ascii="source serif 4" w:hAnsi="source serif 4"/>
          <w:color w:val="000000"/>
        </w:rPr>
        <w:t xml:space="preserve">The API must validate role permissions at the resource level. For example, practitioners must only be able to access clients who have booked with them, while reception and clinic admins may need broader clinic-level access.</w:t>
      </w:r>
    </w:p>
    <w:p>
      <w:pPr>
        <w:spacing w:line="360" w:before="315" w:after="105" w:lineRule="auto"/>
        <w:ind w:left="-30"/>
        <w:jc w:val="left"/>
      </w:pPr>
      <w:bookmarkStart w:id="30" w:name="core_endpoint_groups"/>
      <w:r>
        <w:rPr>
          <w:rFonts w:eastAsia="source serif 4" w:cs="source serif 4" w:ascii="source serif 4" w:hAnsi="source serif 4"/>
          <w:b/>
          <w:color w:val="000000"/>
          <w:sz w:val="24"/>
        </w:rPr>
        <w:t xml:space="preserve">Core endpoint groups</w:t>
      </w:r>
      <w:bookmarkEnd w:id="30"/>
    </w:p>
    <w:p>
      <w:pPr>
        <w:spacing w:line="360" w:after="210" w:lineRule="auto"/>
      </w:pPr>
      <w:r>
        <w:rPr>
          <w:rFonts w:eastAsia="source serif 4" w:cs="source serif 4" w:ascii="source serif 4" w:hAnsi="source serif 4"/>
          <w:color w:val="000000"/>
        </w:rPr>
        <w:t xml:space="preserve">Required endpoint groups include:</w:t>
      </w:r>
    </w:p>
    <w:p>
      <w:pPr>
        <w:numPr>
          <w:ilvl w:val="0"/>
          <w:numId w:val="5"/>
        </w:numPr>
        <w:spacing w:line="360" w:before="105" w:after="105" w:lineRule="auto"/>
      </w:pPr>
      <w:r>
        <w:rPr>
          <w:rFonts w:eastAsia="source serif 4" w:cs="source serif 4" w:ascii="source serif 4" w:hAnsi="source serif 4"/>
          <w:color w:val="000000"/>
          <w:sz w:val="21"/>
        </w:rPr>
        <w:t xml:space="preserve">Auth and identity.</w:t>
      </w:r>
    </w:p>
    <w:p>
      <w:pPr>
        <w:numPr>
          <w:ilvl w:val="0"/>
          <w:numId w:val="5"/>
        </w:numPr>
        <w:spacing w:line="360" w:before="105" w:after="105" w:lineRule="auto"/>
      </w:pPr>
      <w:r>
        <w:rPr>
          <w:rFonts w:eastAsia="source serif 4" w:cs="source serif 4" w:ascii="source serif 4" w:hAnsi="source serif 4"/>
          <w:color w:val="000000"/>
          <w:sz w:val="21"/>
        </w:rPr>
        <w:t xml:space="preserve">Practitioner profiles and availability.</w:t>
      </w:r>
    </w:p>
    <w:p>
      <w:pPr>
        <w:numPr>
          <w:ilvl w:val="0"/>
          <w:numId w:val="5"/>
        </w:numPr>
        <w:spacing w:line="360" w:before="105" w:after="105" w:lineRule="auto"/>
      </w:pPr>
      <w:r>
        <w:rPr>
          <w:rFonts w:eastAsia="source serif 4" w:cs="source serif 4" w:ascii="source serif 4" w:hAnsi="source serif 4"/>
          <w:color w:val="000000"/>
          <w:sz w:val="21"/>
        </w:rPr>
        <w:t xml:space="preserve">Rooms and room allocation.</w:t>
      </w:r>
    </w:p>
    <w:p>
      <w:pPr>
        <w:numPr>
          <w:ilvl w:val="0"/>
          <w:numId w:val="5"/>
        </w:numPr>
        <w:spacing w:line="360" w:before="105" w:after="105" w:lineRule="auto"/>
      </w:pPr>
      <w:r>
        <w:rPr>
          <w:rFonts w:eastAsia="source serif 4" w:cs="source serif 4" w:ascii="source serif 4" w:hAnsi="source serif 4"/>
          <w:color w:val="000000"/>
          <w:sz w:val="21"/>
        </w:rPr>
        <w:t xml:space="preserve">Services and service rules.</w:t>
      </w:r>
    </w:p>
    <w:p>
      <w:pPr>
        <w:numPr>
          <w:ilvl w:val="0"/>
          <w:numId w:val="5"/>
        </w:numPr>
        <w:spacing w:line="360" w:before="105" w:after="105" w:lineRule="auto"/>
      </w:pPr>
      <w:r>
        <w:rPr>
          <w:rFonts w:eastAsia="source serif 4" w:cs="source serif 4" w:ascii="source serif 4" w:hAnsi="source serif 4"/>
          <w:color w:val="000000"/>
          <w:sz w:val="21"/>
        </w:rPr>
        <w:t xml:space="preserve">Public availability search.</w:t>
      </w:r>
    </w:p>
    <w:p>
      <w:pPr>
        <w:numPr>
          <w:ilvl w:val="0"/>
          <w:numId w:val="5"/>
        </w:numPr>
        <w:spacing w:line="360" w:before="105" w:after="105" w:lineRule="auto"/>
      </w:pPr>
      <w:r>
        <w:rPr>
          <w:rFonts w:eastAsia="source serif 4" w:cs="source serif 4" w:ascii="source serif 4" w:hAnsi="source serif 4"/>
          <w:color w:val="000000"/>
          <w:sz w:val="21"/>
        </w:rPr>
        <w:t xml:space="preserve">Appointment booking and recurring booking requests.</w:t>
      </w:r>
    </w:p>
    <w:p>
      <w:pPr>
        <w:numPr>
          <w:ilvl w:val="0"/>
          <w:numId w:val="5"/>
        </w:numPr>
        <w:spacing w:line="360" w:before="105" w:after="105" w:lineRule="auto"/>
      </w:pPr>
      <w:r>
        <w:rPr>
          <w:rFonts w:eastAsia="source serif 4" w:cs="source serif 4" w:ascii="source serif 4" w:hAnsi="source serif 4"/>
          <w:color w:val="000000"/>
          <w:sz w:val="21"/>
        </w:rPr>
        <w:t xml:space="preserve">Appointment cancellation and rescheduling.</w:t>
      </w:r>
    </w:p>
    <w:p>
      <w:pPr>
        <w:numPr>
          <w:ilvl w:val="0"/>
          <w:numId w:val="5"/>
        </w:numPr>
        <w:spacing w:line="360" w:before="105" w:after="105" w:lineRule="auto"/>
      </w:pPr>
      <w:r>
        <w:rPr>
          <w:rFonts w:eastAsia="source serif 4" w:cs="source serif 4" w:ascii="source serif 4" w:hAnsi="source serif 4"/>
          <w:color w:val="000000"/>
          <w:sz w:val="21"/>
        </w:rPr>
        <w:t xml:space="preserve">Waitlist registration and slot-offer workflows.</w:t>
      </w:r>
    </w:p>
    <w:p>
      <w:pPr>
        <w:numPr>
          <w:ilvl w:val="0"/>
          <w:numId w:val="5"/>
        </w:numPr>
        <w:spacing w:line="360" w:before="105" w:after="105" w:lineRule="auto"/>
      </w:pPr>
      <w:r>
        <w:rPr>
          <w:rFonts w:eastAsia="source serif 4" w:cs="source serif 4" w:ascii="source serif 4" w:hAnsi="source serif 4"/>
          <w:color w:val="000000"/>
          <w:sz w:val="21"/>
        </w:rPr>
        <w:t xml:space="preserve">Forms and form submission.</w:t>
      </w:r>
    </w:p>
    <w:p>
      <w:pPr>
        <w:numPr>
          <w:ilvl w:val="0"/>
          <w:numId w:val="5"/>
        </w:numPr>
        <w:spacing w:line="360" w:before="105" w:after="105" w:lineRule="auto"/>
      </w:pPr>
      <w:r>
        <w:rPr>
          <w:rFonts w:eastAsia="source serif 4" w:cs="source serif 4" w:ascii="source serif 4" w:hAnsi="source serif 4"/>
          <w:color w:val="000000"/>
          <w:sz w:val="21"/>
        </w:rPr>
        <w:t xml:space="preserve">Notifications and reminders.</w:t>
      </w:r>
    </w:p>
    <w:p>
      <w:pPr>
        <w:numPr>
          <w:ilvl w:val="0"/>
          <w:numId w:val="5"/>
        </w:numPr>
        <w:spacing w:line="360" w:before="105" w:after="105" w:lineRule="auto"/>
      </w:pPr>
      <w:r>
        <w:rPr>
          <w:rFonts w:eastAsia="source serif 4" w:cs="source serif 4" w:ascii="source serif 4" w:hAnsi="source serif 4"/>
          <w:color w:val="000000"/>
          <w:sz w:val="21"/>
        </w:rPr>
        <w:t xml:space="preserve">Client records and data export requests.</w:t>
      </w:r>
    </w:p>
    <w:p>
      <w:pPr>
        <w:numPr>
          <w:ilvl w:val="0"/>
          <w:numId w:val="5"/>
        </w:numPr>
        <w:spacing w:line="360" w:before="105" w:after="105" w:lineRule="auto"/>
      </w:pPr>
      <w:r>
        <w:rPr>
          <w:rFonts w:eastAsia="source serif 4" w:cs="source serif 4" w:ascii="source serif 4" w:hAnsi="source serif 4"/>
          <w:color w:val="000000"/>
          <w:sz w:val="21"/>
        </w:rPr>
        <w:t xml:space="preserve">Invoices, payments, receipts, and accounting sync.</w:t>
      </w:r>
    </w:p>
    <w:p>
      <w:pPr>
        <w:numPr>
          <w:ilvl w:val="0"/>
          <w:numId w:val="5"/>
        </w:numPr>
        <w:spacing w:line="360" w:before="105" w:after="105" w:lineRule="auto"/>
      </w:pPr>
      <w:r>
        <w:rPr>
          <w:rFonts w:eastAsia="source serif 4" w:cs="source serif 4" w:ascii="source serif 4" w:hAnsi="source serif 4"/>
          <w:color w:val="000000"/>
          <w:sz w:val="21"/>
        </w:rPr>
        <w:t xml:space="preserve">Reporting and dashboards.</w:t>
      </w:r>
    </w:p>
    <w:p>
      <w:pPr>
        <w:numPr>
          <w:ilvl w:val="0"/>
          <w:numId w:val="5"/>
        </w:numPr>
        <w:spacing w:line="360" w:before="105" w:after="105" w:lineRule="auto"/>
      </w:pPr>
      <w:r>
        <w:rPr>
          <w:rFonts w:eastAsia="source serif 4" w:cs="source serif 4" w:ascii="source serif 4" w:hAnsi="source serif 4"/>
          <w:color w:val="000000"/>
          <w:sz w:val="21"/>
        </w:rPr>
        <w:t xml:space="preserve">Audit and compliance operations.</w:t>
      </w:r>
    </w:p>
    <w:p>
      <w:pPr>
        <w:spacing w:line="360" w:before="315" w:after="105" w:lineRule="auto"/>
        <w:ind w:left="-30"/>
        <w:jc w:val="left"/>
      </w:pPr>
      <w:bookmarkStart w:id="31" w:name="business_rules"/>
      <w:r>
        <w:rPr>
          <w:rFonts w:eastAsia="source serif 4" w:cs="source serif 4" w:ascii="source serif 4" w:hAnsi="source serif 4"/>
          <w:b/>
          <w:color w:val="000000"/>
          <w:sz w:val="24"/>
        </w:rPr>
        <w:t xml:space="preserve">Business rules</w:t>
      </w:r>
      <w:bookmarkEnd w:id="31"/>
    </w:p>
    <w:p>
      <w:pPr>
        <w:spacing w:line="360" w:before="315" w:after="105" w:lineRule="auto"/>
        <w:ind w:left="-30"/>
        <w:jc w:val="left"/>
      </w:pPr>
      <w:bookmarkStart w:id="32" w:name="scheduling_rules"/>
      <w:r>
        <w:rPr>
          <w:rFonts w:eastAsia="source serif 4" w:cs="source serif 4" w:ascii="source serif 4" w:hAnsi="source serif 4"/>
          <w:b/>
          <w:color w:val="000000"/>
          <w:sz w:val="24"/>
        </w:rPr>
        <w:t xml:space="preserve">Scheduling rules</w:t>
      </w:r>
      <w:bookmarkEnd w:id="32"/>
    </w:p>
    <w:p>
      <w:pPr>
        <w:numPr>
          <w:ilvl w:val="0"/>
          <w:numId w:val="6"/>
        </w:numPr>
        <w:spacing w:line="360" w:before="105" w:after="105" w:lineRule="auto"/>
      </w:pPr>
      <w:r>
        <w:rPr>
          <w:rFonts w:eastAsia="source serif 4" w:cs="source serif 4" w:ascii="source serif 4" w:hAnsi="source serif 4"/>
          <w:color w:val="000000"/>
          <w:sz w:val="21"/>
        </w:rPr>
        <w:t xml:space="preserve">The base time increment is 15 minutes.</w:t>
      </w:r>
    </w:p>
    <w:p>
      <w:pPr>
        <w:numPr>
          <w:ilvl w:val="0"/>
          <w:numId w:val="6"/>
        </w:numPr>
        <w:spacing w:line="360" w:before="105" w:after="105" w:lineRule="auto"/>
      </w:pPr>
      <w:r>
        <w:rPr>
          <w:rFonts w:eastAsia="source serif 4" w:cs="source serif 4" w:ascii="source serif 4" w:hAnsi="source serif 4"/>
          <w:color w:val="000000"/>
          <w:sz w:val="21"/>
        </w:rPr>
        <w:t xml:space="preserve">Service duration must resolve to one or more 15-minute slots.</w:t>
      </w:r>
    </w:p>
    <w:p>
      <w:pPr>
        <w:numPr>
          <w:ilvl w:val="0"/>
          <w:numId w:val="6"/>
        </w:numPr>
        <w:spacing w:line="360" w:before="105" w:after="105" w:lineRule="auto"/>
      </w:pPr>
      <w:r>
        <w:rPr>
          <w:rFonts w:eastAsia="source serif 4" w:cs="source serif 4" w:ascii="source serif 4" w:hAnsi="source serif 4"/>
          <w:color w:val="000000"/>
          <w:sz w:val="21"/>
        </w:rPr>
        <w:t xml:space="preserve">Availability is location-specific for the wellness centre.</w:t>
      </w:r>
    </w:p>
    <w:p>
      <w:pPr>
        <w:numPr>
          <w:ilvl w:val="0"/>
          <w:numId w:val="6"/>
        </w:numPr>
        <w:spacing w:line="360" w:before="105" w:after="105" w:lineRule="auto"/>
      </w:pPr>
      <w:r>
        <w:rPr>
          <w:rFonts w:eastAsia="source serif 4" w:cs="source serif 4" w:ascii="source serif 4" w:hAnsi="source serif 4"/>
          <w:color w:val="000000"/>
          <w:sz w:val="21"/>
        </w:rPr>
        <w:t xml:space="preserve">Double-booking of practitioner or room is not allowed.</w:t>
      </w:r>
    </w:p>
    <w:p>
      <w:pPr>
        <w:numPr>
          <w:ilvl w:val="0"/>
          <w:numId w:val="6"/>
        </w:numPr>
        <w:spacing w:line="360" w:before="105" w:after="105" w:lineRule="auto"/>
      </w:pPr>
      <w:r>
        <w:rPr>
          <w:rFonts w:eastAsia="source serif 4" w:cs="source serif 4" w:ascii="source serif 4" w:hAnsi="source serif 4"/>
          <w:color w:val="000000"/>
          <w:sz w:val="21"/>
        </w:rPr>
        <w:t xml:space="preserve">Buffer times before and after appointments must be configurable.</w:t>
      </w:r>
    </w:p>
    <w:p>
      <w:pPr>
        <w:numPr>
          <w:ilvl w:val="0"/>
          <w:numId w:val="6"/>
        </w:numPr>
        <w:spacing w:line="360" w:before="105" w:after="105" w:lineRule="auto"/>
      </w:pPr>
      <w:r>
        <w:rPr>
          <w:rFonts w:eastAsia="source serif 4" w:cs="source serif 4" w:ascii="source serif 4" w:hAnsi="source serif 4"/>
          <w:color w:val="000000"/>
          <w:sz w:val="21"/>
        </w:rPr>
        <w:t xml:space="preserve">Service-specific rules may require a fixed duration or allow a client-selected duration from approved options.</w:t>
      </w:r>
    </w:p>
    <w:p>
      <w:pPr>
        <w:numPr>
          <w:ilvl w:val="0"/>
          <w:numId w:val="6"/>
        </w:numPr>
        <w:spacing w:line="360" w:before="105" w:after="105" w:lineRule="auto"/>
      </w:pPr>
      <w:r>
        <w:rPr>
          <w:rFonts w:eastAsia="source serif 4" w:cs="source serif 4" w:ascii="source serif 4" w:hAnsi="source serif 4"/>
          <w:color w:val="000000"/>
          <w:sz w:val="21"/>
        </w:rPr>
        <w:t xml:space="preserve">Certain services may support recurrence.</w:t>
      </w:r>
    </w:p>
    <w:p>
      <w:pPr>
        <w:numPr>
          <w:ilvl w:val="0"/>
          <w:numId w:val="6"/>
        </w:numPr>
        <w:spacing w:line="360" w:before="105" w:after="105" w:lineRule="auto"/>
      </w:pPr>
      <w:r>
        <w:rPr>
          <w:rFonts w:eastAsia="source serif 4" w:cs="source serif 4" w:ascii="source serif 4" w:hAnsi="source serif 4"/>
          <w:color w:val="000000"/>
          <w:sz w:val="21"/>
        </w:rPr>
        <w:t xml:space="preserve">Imported calendar blocks may prevent booking where configured.</w:t>
      </w:r>
    </w:p>
    <w:p>
      <w:pPr>
        <w:spacing w:line="360" w:before="315" w:after="105" w:lineRule="auto"/>
        <w:ind w:left="-30"/>
        <w:jc w:val="left"/>
      </w:pPr>
      <w:bookmarkStart w:id="33" w:name="visibility_rules"/>
      <w:r>
        <w:rPr>
          <w:rFonts w:eastAsia="source serif 4" w:cs="source serif 4" w:ascii="source serif 4" w:hAnsi="source serif 4"/>
          <w:b/>
          <w:color w:val="000000"/>
          <w:sz w:val="24"/>
        </w:rPr>
        <w:t xml:space="preserve">Visibility rules</w:t>
      </w:r>
      <w:bookmarkEnd w:id="33"/>
    </w:p>
    <w:p>
      <w:pPr>
        <w:numPr>
          <w:ilvl w:val="0"/>
          <w:numId w:val="7"/>
        </w:numPr>
        <w:spacing w:line="360" w:before="105" w:after="105" w:lineRule="auto"/>
      </w:pPr>
      <w:r>
        <w:rPr>
          <w:rFonts w:eastAsia="source serif 4" w:cs="source serif 4" w:ascii="source serif 4" w:hAnsi="source serif 4"/>
          <w:color w:val="000000"/>
          <w:sz w:val="21"/>
        </w:rPr>
        <w:t xml:space="preserve">Clients can browse availability without logging in.</w:t>
      </w:r>
    </w:p>
    <w:p>
      <w:pPr>
        <w:numPr>
          <w:ilvl w:val="0"/>
          <w:numId w:val="7"/>
        </w:numPr>
        <w:spacing w:line="360" w:before="105" w:after="105" w:lineRule="auto"/>
      </w:pPr>
      <w:r>
        <w:rPr>
          <w:rFonts w:eastAsia="source serif 4" w:cs="source serif 4" w:ascii="source serif 4" w:hAnsi="source serif 4"/>
          <w:color w:val="000000"/>
          <w:sz w:val="21"/>
        </w:rPr>
        <w:t xml:space="preserve">Clients must log in before booking.</w:t>
      </w:r>
    </w:p>
    <w:p>
      <w:pPr>
        <w:numPr>
          <w:ilvl w:val="0"/>
          <w:numId w:val="7"/>
        </w:numPr>
        <w:spacing w:line="360" w:before="105" w:after="105" w:lineRule="auto"/>
      </w:pPr>
      <w:r>
        <w:rPr>
          <w:rFonts w:eastAsia="source serif 4" w:cs="source serif 4" w:ascii="source serif 4" w:hAnsi="source serif 4"/>
          <w:color w:val="000000"/>
          <w:sz w:val="21"/>
        </w:rPr>
        <w:t xml:space="preserve">Practitioners can only see clients who have booked with them.</w:t>
      </w:r>
    </w:p>
    <w:p>
      <w:pPr>
        <w:numPr>
          <w:ilvl w:val="0"/>
          <w:numId w:val="7"/>
        </w:numPr>
        <w:spacing w:line="360" w:before="105" w:after="105" w:lineRule="auto"/>
      </w:pPr>
      <w:r>
        <w:rPr>
          <w:rFonts w:eastAsia="source serif 4" w:cs="source serif 4" w:ascii="source serif 4" w:hAnsi="source serif 4"/>
          <w:color w:val="000000"/>
          <w:sz w:val="21"/>
        </w:rPr>
        <w:t xml:space="preserve">Clinic-level staff can see broader booking data according to role.</w:t>
      </w:r>
    </w:p>
    <w:p>
      <w:pPr>
        <w:numPr>
          <w:ilvl w:val="0"/>
          <w:numId w:val="7"/>
        </w:numPr>
        <w:spacing w:line="360" w:before="105" w:after="105" w:lineRule="auto"/>
      </w:pPr>
      <w:r>
        <w:rPr>
          <w:rFonts w:eastAsia="source serif 4" w:cs="source serif 4" w:ascii="source serif 4" w:hAnsi="source serif 4"/>
          <w:color w:val="000000"/>
          <w:sz w:val="21"/>
        </w:rPr>
        <w:t xml:space="preserve">Accountant access should default to financial visibility rather than unrestricted clinical notes.</w:t>
      </w:r>
    </w:p>
    <w:p>
      <w:pPr>
        <w:spacing w:line="360" w:before="315" w:after="105" w:lineRule="auto"/>
        <w:ind w:left="-30"/>
        <w:jc w:val="left"/>
      </w:pPr>
      <w:bookmarkStart w:id="34" w:name="cancellation_and_fee_rules"/>
      <w:r>
        <w:rPr>
          <w:rFonts w:eastAsia="source serif 4" w:cs="source serif 4" w:ascii="source serif 4" w:hAnsi="source serif 4"/>
          <w:b/>
          <w:color w:val="000000"/>
          <w:sz w:val="24"/>
        </w:rPr>
        <w:t xml:space="preserve">Cancellation and fee rules</w:t>
      </w:r>
      <w:bookmarkEnd w:id="34"/>
    </w:p>
    <w:p>
      <w:pPr>
        <w:numPr>
          <w:ilvl w:val="0"/>
          <w:numId w:val="8"/>
        </w:numPr>
        <w:spacing w:line="360" w:before="105" w:after="105" w:lineRule="auto"/>
      </w:pPr>
      <w:r>
        <w:rPr>
          <w:rFonts w:eastAsia="source serif 4" w:cs="source serif 4" w:ascii="source serif 4" w:hAnsi="source serif 4"/>
          <w:color w:val="000000"/>
          <w:sz w:val="21"/>
        </w:rPr>
        <w:t xml:space="preserve">Cancellation windows must be configurable globally or by service if later expanded.</w:t>
      </w:r>
    </w:p>
    <w:p>
      <w:pPr>
        <w:numPr>
          <w:ilvl w:val="0"/>
          <w:numId w:val="8"/>
        </w:numPr>
        <w:spacing w:line="360" w:before="105" w:after="105" w:lineRule="auto"/>
      </w:pPr>
      <w:r>
        <w:rPr>
          <w:rFonts w:eastAsia="source serif 4" w:cs="source serif 4" w:ascii="source serif 4" w:hAnsi="source serif 4"/>
          <w:color w:val="000000"/>
          <w:sz w:val="21"/>
        </w:rPr>
        <w:t xml:space="preserve">A default business rule may include a fee for cancellation within 24 hours.</w:t>
      </w:r>
    </w:p>
    <w:p>
      <w:pPr>
        <w:numPr>
          <w:ilvl w:val="0"/>
          <w:numId w:val="8"/>
        </w:numPr>
        <w:spacing w:line="360" w:before="105" w:after="105" w:lineRule="auto"/>
      </w:pPr>
      <w:r>
        <w:rPr>
          <w:rFonts w:eastAsia="source serif 4" w:cs="source serif 4" w:ascii="source serif 4" w:hAnsi="source serif 4"/>
          <w:color w:val="000000"/>
          <w:sz w:val="21"/>
        </w:rPr>
        <w:t xml:space="preserve">Authorized staff must be able to waive or adjust fees with a reason.</w:t>
      </w:r>
    </w:p>
    <w:p>
      <w:pPr>
        <w:numPr>
          <w:ilvl w:val="0"/>
          <w:numId w:val="8"/>
        </w:numPr>
        <w:spacing w:line="360" w:before="105" w:after="105" w:lineRule="auto"/>
      </w:pPr>
      <w:r>
        <w:rPr>
          <w:rFonts w:eastAsia="source serif 4" w:cs="source serif 4" w:ascii="source serif 4" w:hAnsi="source serif 4"/>
          <w:color w:val="000000"/>
          <w:sz w:val="21"/>
        </w:rPr>
        <w:t xml:space="preserve">Exception handling must be recorded in the audit log.</w:t>
      </w:r>
    </w:p>
    <w:p>
      <w:pPr>
        <w:spacing w:line="360" w:before="315" w:after="105" w:lineRule="auto"/>
        <w:ind w:left="-30"/>
        <w:jc w:val="left"/>
      </w:pPr>
      <w:bookmarkStart w:id="35" w:name="reminder_rules"/>
      <w:r>
        <w:rPr>
          <w:rFonts w:eastAsia="source serif 4" w:cs="source serif 4" w:ascii="source serif 4" w:hAnsi="source serif 4"/>
          <w:b/>
          <w:color w:val="000000"/>
          <w:sz w:val="24"/>
        </w:rPr>
        <w:t xml:space="preserve">Reminder rules</w:t>
      </w:r>
      <w:bookmarkEnd w:id="35"/>
    </w:p>
    <w:p>
      <w:pPr>
        <w:numPr>
          <w:ilvl w:val="0"/>
          <w:numId w:val="9"/>
        </w:numPr>
        <w:spacing w:line="360" w:before="105" w:after="105" w:lineRule="auto"/>
      </w:pPr>
      <w:r>
        <w:rPr>
          <w:rFonts w:eastAsia="source serif 4" w:cs="source serif 4" w:ascii="source serif 4" w:hAnsi="source serif 4"/>
          <w:color w:val="000000"/>
          <w:sz w:val="21"/>
        </w:rPr>
        <w:t xml:space="preserve">Confirmation is sent immediately after booking.</w:t>
      </w:r>
    </w:p>
    <w:p>
      <w:pPr>
        <w:numPr>
          <w:ilvl w:val="0"/>
          <w:numId w:val="9"/>
        </w:numPr>
        <w:spacing w:line="360" w:before="105" w:after="105" w:lineRule="auto"/>
      </w:pPr>
      <w:r>
        <w:rPr>
          <w:rFonts w:eastAsia="source serif 4" w:cs="source serif 4" w:ascii="source serif 4" w:hAnsi="source serif 4"/>
          <w:color w:val="000000"/>
          <w:sz w:val="21"/>
        </w:rPr>
        <w:t xml:space="preserve">Follow-up reminders are sent on a global configured schedule.</w:t>
      </w:r>
    </w:p>
    <w:p>
      <w:pPr>
        <w:numPr>
          <w:ilvl w:val="0"/>
          <w:numId w:val="9"/>
        </w:numPr>
        <w:spacing w:line="360" w:before="105" w:after="105" w:lineRule="auto"/>
      </w:pPr>
      <w:r>
        <w:rPr>
          <w:rFonts w:eastAsia="source serif 4" w:cs="source serif 4" w:ascii="source serif 4" w:hAnsi="source serif 4"/>
          <w:color w:val="000000"/>
          <w:sz w:val="21"/>
        </w:rPr>
        <w:t xml:space="preserve">Reminder templates should include appointment details and cancellation or reschedule links.</w:t>
      </w:r>
    </w:p>
    <w:p>
      <w:pPr>
        <w:numPr>
          <w:ilvl w:val="0"/>
          <w:numId w:val="9"/>
        </w:numPr>
        <w:spacing w:line="360" w:before="105" w:after="105" w:lineRule="auto"/>
      </w:pPr>
      <w:r>
        <w:rPr>
          <w:rFonts w:eastAsia="source serif 4" w:cs="source serif 4" w:ascii="source serif 4" w:hAnsi="source serif 4"/>
          <w:color w:val="000000"/>
          <w:sz w:val="21"/>
        </w:rPr>
        <w:t xml:space="preserve">Reminder execution and delivery status must be logged for audit and troubleshooting.</w:t>
      </w:r>
    </w:p>
    <w:p>
      <w:pPr>
        <w:spacing w:line="360" w:before="315" w:after="105" w:lineRule="auto"/>
        <w:ind w:left="-30"/>
        <w:jc w:val="left"/>
      </w:pPr>
      <w:bookmarkStart w:id="36" w:name="billing_rules"/>
      <w:r>
        <w:rPr>
          <w:rFonts w:eastAsia="source serif 4" w:cs="source serif 4" w:ascii="source serif 4" w:hAnsi="source serif 4"/>
          <w:b/>
          <w:color w:val="000000"/>
          <w:sz w:val="24"/>
        </w:rPr>
        <w:t xml:space="preserve">Billing rules</w:t>
      </w:r>
      <w:bookmarkEnd w:id="36"/>
    </w:p>
    <w:p>
      <w:pPr>
        <w:numPr>
          <w:ilvl w:val="0"/>
          <w:numId w:val="10"/>
        </w:numPr>
        <w:spacing w:line="360" w:before="105" w:after="105" w:lineRule="auto"/>
      </w:pPr>
      <w:r>
        <w:rPr>
          <w:rFonts w:eastAsia="source serif 4" w:cs="source serif 4" w:ascii="source serif 4" w:hAnsi="source serif 4"/>
          <w:color w:val="000000"/>
          <w:sz w:val="21"/>
        </w:rPr>
        <w:t xml:space="preserve">Invoices are created when an appointment is marked completed.</w:t>
      </w:r>
    </w:p>
    <w:p>
      <w:pPr>
        <w:numPr>
          <w:ilvl w:val="0"/>
          <w:numId w:val="10"/>
        </w:numPr>
        <w:spacing w:line="360" w:before="105" w:after="105" w:lineRule="auto"/>
      </w:pPr>
      <w:r>
        <w:rPr>
          <w:rFonts w:eastAsia="source serif 4" w:cs="source serif 4" w:ascii="source serif 4" w:hAnsi="source serif 4"/>
          <w:color w:val="000000"/>
          <w:sz w:val="21"/>
        </w:rPr>
        <w:t xml:space="preserve">Payment is expected immediately after service.</w:t>
      </w:r>
    </w:p>
    <w:p>
      <w:pPr>
        <w:numPr>
          <w:ilvl w:val="0"/>
          <w:numId w:val="10"/>
        </w:numPr>
        <w:spacing w:line="360" w:before="105" w:after="105" w:lineRule="auto"/>
      </w:pPr>
      <w:r>
        <w:rPr>
          <w:rFonts w:eastAsia="source serif 4" w:cs="source serif 4" w:ascii="source serif 4" w:hAnsi="source serif 4"/>
          <w:color w:val="000000"/>
          <w:sz w:val="21"/>
        </w:rPr>
        <w:t xml:space="preserve">The internal system must record payment status and related financial events.</w:t>
      </w:r>
    </w:p>
    <w:p>
      <w:pPr>
        <w:numPr>
          <w:ilvl w:val="0"/>
          <w:numId w:val="10"/>
        </w:numPr>
        <w:spacing w:line="360" w:before="105" w:after="105" w:lineRule="auto"/>
      </w:pPr>
      <w:r>
        <w:rPr>
          <w:rFonts w:eastAsia="source serif 4" w:cs="source serif 4" w:ascii="source serif 4" w:hAnsi="source serif 4"/>
          <w:color w:val="000000"/>
          <w:sz w:val="21"/>
        </w:rPr>
        <w:t xml:space="preserve">Accounting integration status must not block core clinical scheduling operations.</w:t>
      </w:r>
    </w:p>
    <w:p>
      <w:pPr>
        <w:spacing w:line="360" w:before="315" w:after="105" w:lineRule="auto"/>
        <w:ind w:left="-30"/>
        <w:jc w:val="left"/>
      </w:pPr>
      <w:bookmarkStart w:id="37" w:name="ux_requirements"/>
      <w:r>
        <w:rPr>
          <w:rFonts w:eastAsia="source serif 4" w:cs="source serif 4" w:ascii="source serif 4" w:hAnsi="source serif 4"/>
          <w:b/>
          <w:color w:val="000000"/>
          <w:sz w:val="24"/>
        </w:rPr>
        <w:t xml:space="preserve">UX requirements</w:t>
      </w:r>
      <w:bookmarkEnd w:id="37"/>
    </w:p>
    <w:p>
      <w:pPr>
        <w:spacing w:line="360" w:before="315" w:after="105" w:lineRule="auto"/>
        <w:ind w:left="-30"/>
        <w:jc w:val="left"/>
      </w:pPr>
      <w:bookmarkStart w:id="38" w:name="public_experience"/>
      <w:r>
        <w:rPr>
          <w:rFonts w:eastAsia="source serif 4" w:cs="source serif 4" w:ascii="source serif 4" w:hAnsi="source serif 4"/>
          <w:b/>
          <w:color w:val="000000"/>
          <w:sz w:val="24"/>
        </w:rPr>
        <w:t xml:space="preserve">Public experience</w:t>
      </w:r>
      <w:bookmarkEnd w:id="38"/>
    </w:p>
    <w:p>
      <w:pPr>
        <w:spacing w:line="360" w:after="210" w:lineRule="auto"/>
      </w:pPr>
      <w:r>
        <w:rPr>
          <w:rFonts w:eastAsia="source serif 4" w:cs="source serif 4" w:ascii="source serif 4" w:hAnsi="source serif 4"/>
          <w:color w:val="000000"/>
        </w:rPr>
        <w:t xml:space="preserve">The public experience must make it easy to find an appropriate practitioner, service, duration, and open time slot. Users should be able to move from discovery to booking in a short, low-friction flow.</w:t>
      </w:r>
    </w:p>
    <w:p>
      <w:pPr>
        <w:spacing w:line="360" w:after="210" w:lineRule="auto"/>
      </w:pPr>
      <w:r>
        <w:rPr>
          <w:rFonts w:eastAsia="source serif 4" w:cs="source serif 4" w:ascii="source serif 4" w:hAnsi="source serif 4"/>
          <w:color w:val="000000"/>
        </w:rPr>
        <w:t xml:space="preserve">The system should clearly display service duration choices, cancellation policy summaries, form requirements, and booking confirmation details. Because self-service cancellation and rescheduling help reduce no-shows, those actions should remain visible and easy to use within policy boundaries.[cite:61][cite:68]</w:t>
      </w:r>
    </w:p>
    <w:p>
      <w:pPr>
        <w:spacing w:line="360" w:before="315" w:after="105" w:lineRule="auto"/>
        <w:ind w:left="-30"/>
        <w:jc w:val="left"/>
      </w:pPr>
      <w:bookmarkStart w:id="39" w:name="practitioner_portal"/>
      <w:r>
        <w:rPr>
          <w:rFonts w:eastAsia="source serif 4" w:cs="source serif 4" w:ascii="source serif 4" w:hAnsi="source serif 4"/>
          <w:b/>
          <w:color w:val="000000"/>
          <w:sz w:val="24"/>
        </w:rPr>
        <w:t xml:space="preserve">Practitioner portal</w:t>
      </w:r>
      <w:bookmarkEnd w:id="39"/>
    </w:p>
    <w:p>
      <w:pPr>
        <w:spacing w:line="360" w:after="210" w:lineRule="auto"/>
      </w:pPr>
      <w:r>
        <w:rPr>
          <w:rFonts w:eastAsia="source serif 4" w:cs="source serif 4" w:ascii="source serif 4" w:hAnsi="source serif 4"/>
          <w:color w:val="000000"/>
        </w:rPr>
        <w:t xml:space="preserve">The practitioner portal must allow availability management, room preferences, appointment review, form access, client history for their own clients, reminder visibility, time-off booking, sick-day management, and basic invoice visibility related to completed appointments.</w:t>
      </w:r>
    </w:p>
    <w:p>
      <w:pPr>
        <w:spacing w:line="360" w:before="315" w:after="105" w:lineRule="auto"/>
        <w:ind w:left="-30"/>
        <w:jc w:val="left"/>
      </w:pPr>
      <w:bookmarkStart w:id="40" w:name="admin_portal"/>
      <w:r>
        <w:rPr>
          <w:rFonts w:eastAsia="source serif 4" w:cs="source serif 4" w:ascii="source serif 4" w:hAnsi="source serif 4"/>
          <w:b/>
          <w:color w:val="000000"/>
          <w:sz w:val="24"/>
        </w:rPr>
        <w:t xml:space="preserve">Admin portal</w:t>
      </w:r>
      <w:bookmarkEnd w:id="40"/>
    </w:p>
    <w:p>
      <w:pPr>
        <w:spacing w:line="360" w:after="210" w:lineRule="auto"/>
      </w:pPr>
      <w:r>
        <w:rPr>
          <w:rFonts w:eastAsia="source serif 4" w:cs="source serif 4" w:ascii="source serif 4" w:hAnsi="source serif 4"/>
          <w:color w:val="000000"/>
        </w:rPr>
        <w:t xml:space="preserve">The admin portal must allow room and practitioner setup, booking on behalf of clients, conflict resolution, waitlist administration, reminder configuration, template management, reporting, invoicing oversight, payment reconciliation, and compliance operations such as export handling and audit review.</w:t>
      </w:r>
    </w:p>
    <w:p>
      <w:pPr>
        <w:spacing w:line="360" w:before="315" w:after="105" w:lineRule="auto"/>
        <w:ind w:left="-30"/>
        <w:jc w:val="left"/>
      </w:pPr>
      <w:bookmarkStart w:id="41" w:name="delivery_plan"/>
      <w:r>
        <w:rPr>
          <w:rFonts w:eastAsia="source serif 4" w:cs="source serif 4" w:ascii="source serif 4" w:hAnsi="source serif 4"/>
          <w:b/>
          <w:color w:val="000000"/>
          <w:sz w:val="24"/>
        </w:rPr>
        <w:t xml:space="preserve">Delivery plan</w:t>
      </w:r>
      <w:bookmarkEnd w:id="41"/>
    </w:p>
    <w:p>
      <w:pPr>
        <w:spacing w:line="360" w:before="315" w:after="105" w:lineRule="auto"/>
        <w:ind w:left="-30"/>
        <w:jc w:val="left"/>
      </w:pPr>
      <w:bookmarkStart w:id="42" w:name="mvp"/>
      <w:r>
        <w:rPr>
          <w:rFonts w:eastAsia="source serif 4" w:cs="source serif 4" w:ascii="source serif 4" w:hAnsi="source serif 4"/>
          <w:b/>
          <w:color w:val="000000"/>
          <w:sz w:val="24"/>
        </w:rPr>
        <w:t xml:space="preserve">MVP</w:t>
      </w:r>
      <w:bookmarkEnd w:id="42"/>
    </w:p>
    <w:p>
      <w:pPr>
        <w:spacing w:line="360" w:after="210" w:lineRule="auto"/>
      </w:pPr>
      <w:r>
        <w:rPr>
          <w:rFonts w:eastAsia="source serif 4" w:cs="source serif 4" w:ascii="source serif 4" w:hAnsi="source serif 4"/>
          <w:color w:val="000000"/>
        </w:rPr>
        <w:t xml:space="preserve">The MVP should include:</w:t>
      </w:r>
    </w:p>
    <w:p>
      <w:pPr>
        <w:numPr>
          <w:ilvl w:val="0"/>
          <w:numId w:val="11"/>
        </w:numPr>
        <w:spacing w:line="360" w:before="105" w:after="105" w:lineRule="auto"/>
      </w:pPr>
      <w:r>
        <w:rPr>
          <w:rFonts w:eastAsia="source serif 4" w:cs="source serif 4" w:ascii="source serif 4" w:hAnsi="source serif 4"/>
          <w:color w:val="000000"/>
          <w:sz w:val="21"/>
        </w:rPr>
        <w:t xml:space="preserve">Responsive web app.</w:t>
      </w:r>
    </w:p>
    <w:p>
      <w:pPr>
        <w:numPr>
          <w:ilvl w:val="0"/>
          <w:numId w:val="11"/>
        </w:numPr>
        <w:spacing w:line="360" w:before="105" w:after="105" w:lineRule="auto"/>
      </w:pPr>
      <w:r>
        <w:rPr>
          <w:rFonts w:eastAsia="source serif 4" w:cs="source serif 4" w:ascii="source serif 4" w:hAnsi="source serif 4"/>
          <w:color w:val="000000"/>
          <w:sz w:val="21"/>
        </w:rPr>
        <w:t xml:space="preserve">Public availability search.</w:t>
      </w:r>
    </w:p>
    <w:p>
      <w:pPr>
        <w:numPr>
          <w:ilvl w:val="0"/>
          <w:numId w:val="11"/>
        </w:numPr>
        <w:spacing w:line="360" w:before="105" w:after="105" w:lineRule="auto"/>
      </w:pPr>
      <w:r>
        <w:rPr>
          <w:rFonts w:eastAsia="source serif 4" w:cs="source serif 4" w:ascii="source serif 4" w:hAnsi="source serif 4"/>
          <w:color w:val="000000"/>
          <w:sz w:val="21"/>
        </w:rPr>
        <w:t xml:space="preserve">Social login for clients.</w:t>
      </w:r>
    </w:p>
    <w:p>
      <w:pPr>
        <w:numPr>
          <w:ilvl w:val="0"/>
          <w:numId w:val="11"/>
        </w:numPr>
        <w:spacing w:line="360" w:before="105" w:after="105" w:lineRule="auto"/>
      </w:pPr>
      <w:r>
        <w:rPr>
          <w:rFonts w:eastAsia="source serif 4" w:cs="source serif 4" w:ascii="source serif 4" w:hAnsi="source serif 4"/>
          <w:color w:val="000000"/>
          <w:sz w:val="21"/>
        </w:rPr>
        <w:t xml:space="preserve">Configurable staff authentication approach.</w:t>
      </w:r>
    </w:p>
    <w:p>
      <w:pPr>
        <w:numPr>
          <w:ilvl w:val="0"/>
          <w:numId w:val="11"/>
        </w:numPr>
        <w:spacing w:line="360" w:before="105" w:after="105" w:lineRule="auto"/>
      </w:pPr>
      <w:r>
        <w:rPr>
          <w:rFonts w:eastAsia="source serif 4" w:cs="source serif 4" w:ascii="source serif 4" w:hAnsi="source serif 4"/>
          <w:color w:val="000000"/>
          <w:sz w:val="21"/>
        </w:rPr>
        <w:t xml:space="preserve">Practitioner, room, and service management.</w:t>
      </w:r>
    </w:p>
    <w:p>
      <w:pPr>
        <w:numPr>
          <w:ilvl w:val="0"/>
          <w:numId w:val="11"/>
        </w:numPr>
        <w:spacing w:line="360" w:before="105" w:after="105" w:lineRule="auto"/>
      </w:pPr>
      <w:r>
        <w:rPr>
          <w:rFonts w:eastAsia="source serif 4" w:cs="source serif 4" w:ascii="source serif 4" w:hAnsi="source serif 4"/>
          <w:color w:val="000000"/>
          <w:sz w:val="21"/>
        </w:rPr>
        <w:t xml:space="preserve">15-minute slot-based booking engine.</w:t>
      </w:r>
    </w:p>
    <w:p>
      <w:pPr>
        <w:numPr>
          <w:ilvl w:val="0"/>
          <w:numId w:val="11"/>
        </w:numPr>
        <w:spacing w:line="360" w:before="105" w:after="105" w:lineRule="auto"/>
      </w:pPr>
      <w:r>
        <w:rPr>
          <w:rFonts w:eastAsia="source serif 4" w:cs="source serif 4" w:ascii="source serif 4" w:hAnsi="source serif 4"/>
          <w:color w:val="000000"/>
          <w:sz w:val="21"/>
        </w:rPr>
        <w:t xml:space="preserve">Appointment booking, cancellation, and rescheduling.</w:t>
      </w:r>
    </w:p>
    <w:p>
      <w:pPr>
        <w:numPr>
          <w:ilvl w:val="0"/>
          <w:numId w:val="11"/>
        </w:numPr>
        <w:spacing w:line="360" w:before="105" w:after="105" w:lineRule="auto"/>
      </w:pPr>
      <w:r>
        <w:rPr>
          <w:rFonts w:eastAsia="source serif 4" w:cs="source serif 4" w:ascii="source serif 4" w:hAnsi="source serif 4"/>
          <w:color w:val="000000"/>
          <w:sz w:val="21"/>
        </w:rPr>
        <w:t xml:space="preserve">Time-off and sick-day workflows.</w:t>
      </w:r>
    </w:p>
    <w:p>
      <w:pPr>
        <w:numPr>
          <w:ilvl w:val="0"/>
          <w:numId w:val="11"/>
        </w:numPr>
        <w:spacing w:line="360" w:before="105" w:after="105" w:lineRule="auto"/>
      </w:pPr>
      <w:r>
        <w:rPr>
          <w:rFonts w:eastAsia="source serif 4" w:cs="source serif 4" w:ascii="source serif 4" w:hAnsi="source serif 4"/>
          <w:color w:val="000000"/>
          <w:sz w:val="21"/>
        </w:rPr>
        <w:t xml:space="preserve">Email confirmations and global reminder schedule.</w:t>
      </w:r>
    </w:p>
    <w:p>
      <w:pPr>
        <w:numPr>
          <w:ilvl w:val="0"/>
          <w:numId w:val="11"/>
        </w:numPr>
        <w:spacing w:line="360" w:before="105" w:after="105" w:lineRule="auto"/>
      </w:pPr>
      <w:r>
        <w:rPr>
          <w:rFonts w:eastAsia="source serif 4" w:cs="source serif 4" w:ascii="source serif 4" w:hAnsi="source serif 4"/>
          <w:color w:val="000000"/>
          <w:sz w:val="21"/>
        </w:rPr>
        <w:t xml:space="preserve">Client records, forms, and data export.</w:t>
      </w:r>
    </w:p>
    <w:p>
      <w:pPr>
        <w:numPr>
          <w:ilvl w:val="0"/>
          <w:numId w:val="11"/>
        </w:numPr>
        <w:spacing w:line="360" w:before="105" w:after="105" w:lineRule="auto"/>
      </w:pPr>
      <w:r>
        <w:rPr>
          <w:rFonts w:eastAsia="source serif 4" w:cs="source serif 4" w:ascii="source serif 4" w:hAnsi="source serif 4"/>
          <w:color w:val="000000"/>
          <w:sz w:val="21"/>
        </w:rPr>
        <w:t xml:space="preserve">Internal invoicing and payment tracking.</w:t>
      </w:r>
    </w:p>
    <w:p>
      <w:pPr>
        <w:numPr>
          <w:ilvl w:val="0"/>
          <w:numId w:val="11"/>
        </w:numPr>
        <w:spacing w:line="360" w:before="105" w:after="105" w:lineRule="auto"/>
      </w:pPr>
      <w:r>
        <w:rPr>
          <w:rFonts w:eastAsia="source serif 4" w:cs="source serif 4" w:ascii="source serif 4" w:hAnsi="source serif 4"/>
          <w:color w:val="000000"/>
          <w:sz w:val="21"/>
        </w:rPr>
        <w:t xml:space="preserve">Waitlist management.</w:t>
      </w:r>
    </w:p>
    <w:p>
      <w:pPr>
        <w:numPr>
          <w:ilvl w:val="0"/>
          <w:numId w:val="11"/>
        </w:numPr>
        <w:spacing w:line="360" w:before="105" w:after="105" w:lineRule="auto"/>
      </w:pPr>
      <w:r>
        <w:rPr>
          <w:rFonts w:eastAsia="source serif 4" w:cs="source serif 4" w:ascii="source serif 4" w:hAnsi="source serif 4"/>
          <w:color w:val="000000"/>
          <w:sz w:val="21"/>
        </w:rPr>
        <w:t xml:space="preserve">Role-based access control.</w:t>
      </w:r>
    </w:p>
    <w:p>
      <w:pPr>
        <w:numPr>
          <w:ilvl w:val="0"/>
          <w:numId w:val="11"/>
        </w:numPr>
        <w:spacing w:line="360" w:before="105" w:after="105" w:lineRule="auto"/>
      </w:pPr>
      <w:r>
        <w:rPr>
          <w:rFonts w:eastAsia="source serif 4" w:cs="source serif 4" w:ascii="source serif 4" w:hAnsi="source serif 4"/>
          <w:color w:val="000000"/>
          <w:sz w:val="21"/>
        </w:rPr>
        <w:t xml:space="preserve">Audit logs.</w:t>
      </w:r>
    </w:p>
    <w:p>
      <w:pPr>
        <w:numPr>
          <w:ilvl w:val="0"/>
          <w:numId w:val="11"/>
        </w:numPr>
        <w:spacing w:line="360" w:before="105" w:after="105" w:lineRule="auto"/>
      </w:pPr>
      <w:r>
        <w:rPr>
          <w:rFonts w:eastAsia="source serif 4" w:cs="source serif 4" w:ascii="source serif 4" w:hAnsi="source serif 4"/>
          <w:color w:val="000000"/>
          <w:sz w:val="21"/>
        </w:rPr>
        <w:t xml:space="preserve">PHP/MySQL internal API.</w:t>
      </w:r>
    </w:p>
    <w:p>
      <w:pPr>
        <w:spacing w:line="360" w:before="315" w:after="105" w:lineRule="auto"/>
        <w:ind w:left="-30"/>
        <w:jc w:val="left"/>
      </w:pPr>
      <w:bookmarkStart w:id="43" w:name="phase_2_candidates"/>
      <w:r>
        <w:rPr>
          <w:rFonts w:eastAsia="source serif 4" w:cs="source serif 4" w:ascii="source serif 4" w:hAnsi="source serif 4"/>
          <w:b/>
          <w:color w:val="000000"/>
          <w:sz w:val="24"/>
        </w:rPr>
        <w:t xml:space="preserve">Phase 2 candidates</w:t>
      </w:r>
      <w:bookmarkEnd w:id="43"/>
    </w:p>
    <w:p>
      <w:pPr>
        <w:spacing w:line="360" w:after="210" w:lineRule="auto"/>
      </w:pPr>
      <w:r>
        <w:rPr>
          <w:rFonts w:eastAsia="source serif 4" w:cs="source serif 4" w:ascii="source serif 4" w:hAnsi="source serif 4"/>
          <w:color w:val="000000"/>
        </w:rPr>
        <w:t xml:space="preserve">Likely Phase 2 items include SMS reminders, richer QuickBooks synchronization, external calendar synchronization, online payment gateway integration, more advanced analytics, multi-location expansion, and U.S.-specific compliance enhancements.</w:t>
      </w:r>
    </w:p>
    <w:p>
      <w:pPr>
        <w:spacing w:line="360" w:before="315" w:after="105" w:lineRule="auto"/>
        <w:ind w:left="-30"/>
        <w:jc w:val="left"/>
      </w:pPr>
      <w:bookmarkStart w:id="44" w:name="assumptions_and_dependencies"/>
      <w:r>
        <w:rPr>
          <w:rFonts w:eastAsia="source serif 4" w:cs="source serif 4" w:ascii="source serif 4" w:hAnsi="source serif 4"/>
          <w:b/>
          <w:color w:val="000000"/>
          <w:sz w:val="24"/>
        </w:rPr>
        <w:t xml:space="preserve">Assumptions and dependencies</w:t>
      </w:r>
      <w:bookmarkEnd w:id="44"/>
    </w:p>
    <w:p>
      <w:pPr>
        <w:spacing w:line="360" w:after="210" w:lineRule="auto"/>
      </w:pPr>
      <w:r>
        <w:rPr>
          <w:rFonts w:eastAsia="source serif 4" w:cs="source serif 4" w:ascii="source serif 4" w:hAnsi="source serif 4"/>
          <w:color w:val="000000"/>
        </w:rPr>
        <w:t xml:space="preserve">The requirements assume a single wellness-centre deployment model first, with possible future multi-location growth. They also assume a deliverable that includes separate public, practitioner, and admin-facing experiences over a shared internal API.</w:t>
      </w:r>
    </w:p>
    <w:p>
      <w:pPr>
        <w:spacing w:line="360" w:after="210" w:lineRule="auto"/>
      </w:pPr>
      <w:r>
        <w:rPr>
          <w:rFonts w:eastAsia="source serif 4" w:cs="source serif 4" w:ascii="source serif 4" w:hAnsi="source serif 4"/>
          <w:color w:val="000000"/>
        </w:rPr>
        <w:t xml:space="preserve">External dependencies include an email delivery provider, chosen identity providers, payment processor if direct payment capture is later added, and QuickBooks Online if accounting integration is enabled. OAuth-based external integrations must follow provider policies and secure token handling practices.[cite:49][cite:52][cite:53]</w:t>
      </w:r>
    </w:p>
    <w:p>
      <w:pPr>
        <w:spacing w:line="360" w:before="315" w:after="105" w:lineRule="auto"/>
        <w:ind w:left="-30"/>
        <w:jc w:val="left"/>
      </w:pPr>
      <w:bookmarkStart w:id="45" w:name="risks"/>
      <w:r>
        <w:rPr>
          <w:rFonts w:eastAsia="source serif 4" w:cs="source serif 4" w:ascii="source serif 4" w:hAnsi="source serif 4"/>
          <w:b/>
          <w:color w:val="000000"/>
          <w:sz w:val="24"/>
        </w:rPr>
        <w:t xml:space="preserve">Risks</w:t>
      </w:r>
      <w:bookmarkEnd w:id="45"/>
    </w:p>
    <w:p>
      <w:pPr>
        <w:spacing w:line="360" w:after="210" w:lineRule="auto"/>
      </w:pPr>
      <w:r>
        <w:rPr>
          <w:rFonts w:eastAsia="source serif 4" w:cs="source serif 4" w:ascii="source serif 4" w:hAnsi="source serif 4"/>
          <w:color w:val="000000"/>
        </w:rPr>
        <w:t xml:space="preserve">The main risks are privacy-scope expansion, overspecifying clinical data before legal review, ambiguous accounting synchronization rules, complex room-plus-practitioner booking logic, and calendar-import edge cases. These areas should be validated early through detailed workflow mapping and legal/privacy review.</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2026-08-24T00:17:01.827Z</dcterms:created>
  <dcterms:modified xsi:type="dcterms:W3CDTF">2026-08-24T00:17:01.827Z</dcterms:modified>
</cp:coreProperties>
</file>