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49" w:rsidRDefault="00870D49" w:rsidP="00870D49">
      <w:pPr>
        <w:pStyle w:val="Ttulo1"/>
      </w:pPr>
      <w:bookmarkStart w:id="0" w:name="_GoBack"/>
      <w:bookmarkEnd w:id="0"/>
      <w:r>
        <w:t>Tabla de Funciones de Agregación</w:t>
      </w:r>
    </w:p>
    <w:p w:rsidR="00870D49" w:rsidRDefault="001A500A" w:rsidP="00870D49"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36"/>
        <w:gridCol w:w="1640"/>
        <w:gridCol w:w="1378"/>
        <w:gridCol w:w="851"/>
        <w:gridCol w:w="850"/>
        <w:gridCol w:w="992"/>
        <w:gridCol w:w="993"/>
        <w:gridCol w:w="1134"/>
      </w:tblGrid>
      <w:tr w:rsidR="00870D49" w:rsidTr="001A500A">
        <w:trPr>
          <w:trHeight w:val="495"/>
          <w:jc w:val="center"/>
        </w:trPr>
        <w:tc>
          <w:tcPr>
            <w:tcW w:w="736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18"/>
              </w:rPr>
              <w:t>cod</w:t>
            </w:r>
            <w:proofErr w:type="spellEnd"/>
          </w:p>
        </w:tc>
        <w:tc>
          <w:tcPr>
            <w:tcW w:w="1640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operación</w:t>
            </w:r>
          </w:p>
        </w:tc>
        <w:tc>
          <w:tcPr>
            <w:tcW w:w="1378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símbolo</w:t>
            </w:r>
          </w:p>
        </w:tc>
        <w:tc>
          <w:tcPr>
            <w:tcW w:w="851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8"/>
                <w:lang w:val="en-US"/>
              </w:rPr>
              <w:t>d</w:t>
            </w:r>
          </w:p>
        </w:tc>
        <w:tc>
          <w:tcPr>
            <w:tcW w:w="850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8"/>
                <w:lang w:val="en-US"/>
              </w:rPr>
              <w:t>r2</w:t>
            </w:r>
          </w:p>
        </w:tc>
        <w:tc>
          <w:tcPr>
            <w:tcW w:w="992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8"/>
                <w:lang w:val="en-US"/>
              </w:rPr>
              <w:t>r3</w:t>
            </w:r>
          </w:p>
        </w:tc>
        <w:tc>
          <w:tcPr>
            <w:tcW w:w="993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8"/>
                <w:lang w:val="en-US"/>
              </w:rPr>
              <w:t>r4</w:t>
            </w:r>
          </w:p>
        </w:tc>
        <w:tc>
          <w:tcPr>
            <w:tcW w:w="1134" w:type="dxa"/>
            <w:shd w:val="solid" w:color="80008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color w:val="FFFFFF"/>
                <w:sz w:val="18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18"/>
                <w:lang w:val="en-US"/>
              </w:rPr>
              <w:t>r5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Disjunction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1.7e+103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1.7e+103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1.7e+103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1.7e+103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2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Strong QD (+)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D++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0.9375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20.630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24.300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27.110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30.090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3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Strong QD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pStyle w:val="Ttulo9"/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D+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0.8750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9.521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11.095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12.270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13.235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4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Strong QD (-)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pStyle w:val="Ttulo9"/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D+-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0.8125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5.802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6.675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7.316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7.819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5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Medium QD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DA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0.7500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3.929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4.450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4.825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5.111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6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Weak QD (+)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D-+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0.6875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2.792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3.101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3.318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3.479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7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Weak QD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D-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0.6250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2.018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2.187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2.302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2.384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8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Square Mean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SQU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0.6232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2.000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2.00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2.00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2.00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9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Weak QD (-)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D--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0.5625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1.449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1.519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1.565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1.596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10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Arithmetic Mean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0.5000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1.00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1.00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1.00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1.00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11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Weak QC (-)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C--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0.4375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0.619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0.573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0.546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0.526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12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Weak QC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C-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0.3750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0.261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0.192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0.153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0.129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13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Geometric Mean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GEO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0.3333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0.000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-0.067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-0.101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-0.121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14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Weak QC (+)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C-+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0.3125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-0.148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-0.208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-0.235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-0.251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15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Medium QC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CA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0.2500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-0.720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-0.732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-0.721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-0.707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16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Harmonic Mean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HAR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0.2274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-1.000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-1.000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-1.000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-1.000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17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lang w:val="en-US"/>
                  </w:rPr>
                  <w:t>Strong</w:t>
                </w:r>
              </w:smartTag>
              <w:r>
                <w:rPr>
                  <w:sz w:val="18"/>
                  <w:lang w:val="en-US"/>
                </w:rPr>
                <w:t xml:space="preserve"> </w:t>
              </w:r>
              <w:smartTag w:uri="urn:schemas-microsoft-com:office:smarttags" w:element="State">
                <w:r>
                  <w:rPr>
                    <w:sz w:val="18"/>
                    <w:lang w:val="en-US"/>
                  </w:rPr>
                  <w:t>QC</w:t>
                </w:r>
              </w:smartTag>
            </w:smartTag>
            <w:r>
              <w:rPr>
                <w:sz w:val="18"/>
                <w:lang w:val="en-US"/>
              </w:rPr>
              <w:t xml:space="preserve"> (-)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jc w:val="lef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C+-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0.1875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-1.655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-1.550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-1.455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-1.380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18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lang w:val="en-US"/>
                  </w:rPr>
                  <w:t>Strong</w:t>
                </w:r>
              </w:smartTag>
              <w:r>
                <w:rPr>
                  <w:sz w:val="18"/>
                  <w:lang w:val="en-US"/>
                </w:rPr>
                <w:t xml:space="preserve"> </w:t>
              </w:r>
              <w:smartTag w:uri="urn:schemas-microsoft-com:office:smarttags" w:element="State">
                <w:r>
                  <w:rPr>
                    <w:sz w:val="18"/>
                    <w:lang w:val="en-US"/>
                  </w:rPr>
                  <w:t>QC</w:t>
                </w:r>
              </w:smartTag>
            </w:smartTag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C+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0.1250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-3.510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-3.114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-2.823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-2.606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19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lang w:val="en-US"/>
                  </w:rPr>
                  <w:t>Strong</w:t>
                </w:r>
              </w:smartTag>
              <w:r>
                <w:rPr>
                  <w:sz w:val="18"/>
                  <w:lang w:val="en-US"/>
                </w:rPr>
                <w:t xml:space="preserve"> </w:t>
              </w:r>
              <w:smartTag w:uri="urn:schemas-microsoft-com:office:smarttags" w:element="State">
                <w:r>
                  <w:rPr>
                    <w:sz w:val="18"/>
                    <w:lang w:val="en-US"/>
                  </w:rPr>
                  <w:t>QC</w:t>
                </w:r>
              </w:smartTag>
            </w:smartTag>
            <w:r>
              <w:rPr>
                <w:sz w:val="18"/>
                <w:lang w:val="en-US"/>
              </w:rPr>
              <w:t xml:space="preserve"> (+)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C++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0.0625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-9.060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-7.639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-6.689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-6.013</w:t>
            </w:r>
          </w:p>
        </w:tc>
      </w:tr>
      <w:tr w:rsidR="00870D49" w:rsidTr="001A500A">
        <w:trPr>
          <w:trHeight w:val="495"/>
          <w:jc w:val="center"/>
        </w:trPr>
        <w:tc>
          <w:tcPr>
            <w:tcW w:w="736" w:type="dxa"/>
            <w:shd w:val="solid" w:color="C0C0C0" w:fill="FFFFFF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20</w:t>
            </w:r>
          </w:p>
        </w:tc>
        <w:tc>
          <w:tcPr>
            <w:tcW w:w="164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Conjunction</w:t>
            </w:r>
          </w:p>
        </w:tc>
        <w:tc>
          <w:tcPr>
            <w:tcW w:w="1378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0.0000</w:t>
            </w:r>
          </w:p>
        </w:tc>
        <w:tc>
          <w:tcPr>
            <w:tcW w:w="850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5.0e-324</w:t>
            </w:r>
          </w:p>
        </w:tc>
        <w:tc>
          <w:tcPr>
            <w:tcW w:w="992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5.0e-324</w:t>
            </w:r>
          </w:p>
        </w:tc>
        <w:tc>
          <w:tcPr>
            <w:tcW w:w="993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5.0e-324</w:t>
            </w:r>
          </w:p>
        </w:tc>
        <w:tc>
          <w:tcPr>
            <w:tcW w:w="1134" w:type="dxa"/>
            <w:vAlign w:val="center"/>
          </w:tcPr>
          <w:p w:rsidR="00870D49" w:rsidRDefault="00870D49" w:rsidP="001A500A">
            <w:pPr>
              <w:spacing w:after="0" w:line="240" w:lineRule="auto"/>
              <w:ind w:firstLine="0"/>
              <w:jc w:val="center"/>
              <w:rPr>
                <w:sz w:val="18"/>
              </w:rPr>
            </w:pPr>
            <w:r>
              <w:rPr>
                <w:sz w:val="18"/>
              </w:rPr>
              <w:t>5.0e-324</w:t>
            </w:r>
          </w:p>
        </w:tc>
      </w:tr>
    </w:tbl>
    <w:p w:rsidR="00763800" w:rsidRDefault="00870D49" w:rsidP="00870D49">
      <w:pPr>
        <w:ind w:firstLine="0"/>
        <w:jc w:val="center"/>
      </w:pPr>
      <w:r>
        <w:rPr>
          <w:b/>
          <w:sz w:val="22"/>
        </w:rPr>
        <w:t>Tabla “</w:t>
      </w:r>
      <w:r>
        <w:rPr>
          <w:b/>
          <w:i/>
          <w:sz w:val="22"/>
        </w:rPr>
        <w:t>Símbolos y parámetros de la función “</w:t>
      </w:r>
      <w:proofErr w:type="spellStart"/>
      <w:r>
        <w:rPr>
          <w:b/>
          <w:i/>
          <w:sz w:val="22"/>
        </w:rPr>
        <w:t>andor</w:t>
      </w:r>
      <w:proofErr w:type="spellEnd"/>
      <w:r>
        <w:rPr>
          <w:b/>
          <w:i/>
          <w:sz w:val="22"/>
        </w:rPr>
        <w:t>”</w:t>
      </w:r>
      <w:r>
        <w:rPr>
          <w:b/>
          <w:sz w:val="22"/>
        </w:rPr>
        <w:t>”</w:t>
      </w:r>
    </w:p>
    <w:sectPr w:rsidR="00763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BD"/>
    <w:rsid w:val="001A500A"/>
    <w:rsid w:val="002A45BD"/>
    <w:rsid w:val="00720F39"/>
    <w:rsid w:val="00763800"/>
    <w:rsid w:val="0087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C6F06-C1A7-4D4B-8475-0EFCA5A0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49"/>
    <w:pPr>
      <w:widowControl w:val="0"/>
      <w:spacing w:after="24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870D49"/>
    <w:pPr>
      <w:spacing w:before="360" w:after="360" w:line="240" w:lineRule="auto"/>
      <w:ind w:firstLine="0"/>
      <w:jc w:val="left"/>
      <w:outlineLvl w:val="0"/>
    </w:pPr>
    <w:rPr>
      <w:b/>
      <w:sz w:val="32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870D49"/>
    <w:pPr>
      <w:keepNext/>
      <w:jc w:val="center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70D49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870D49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6438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Peralta</dc:creator>
  <cp:keywords/>
  <dc:description/>
  <cp:lastModifiedBy>Mario Peralta</cp:lastModifiedBy>
  <cp:revision>1</cp:revision>
  <dcterms:created xsi:type="dcterms:W3CDTF">2022-11-06T22:46:00Z</dcterms:created>
  <dcterms:modified xsi:type="dcterms:W3CDTF">2023-01-14T14:43:00Z</dcterms:modified>
</cp:coreProperties>
</file>