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Herramientas Tecnológicas Utilizadas: texto corregido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Proyecto: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StockPilot: plataforma web de gestión comercial asistida por inteligencia artificial para microempresas de comercio minorista en Bogotá</w:t>
      </w:r>
      <w:r>
        <w:rPr>
          <w:rFonts w:ascii="Arial" w:cs="Arial" w:eastAsia="Arial" w:hAnsi="Arial"/>
          <w:sz w:val="22"/>
          <w:szCs w:val="22"/>
        </w:rPr>
        <w:t xml:space="preserve">. Curso: Bases de Datos Avanzadas.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Cada punto trae el texto para copiar en "SEGUIMIENTO DEL PROYECTO A REALIZAR2026". Los recuadros naranja explican qué se corrigió y no se copian. Los puntos 14 a 17 tienen dos versiones: la de hoy, que describe honestamente lo que existe, y la del recuadro verde, para cuando cierren los sprints 6 y 7. No usen la versión verde antes de implementarla.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Análisis del Negocio: </w:t>
      </w:r>
      <w:r>
        <w:rPr>
          <w:rFonts w:ascii="Arial" w:cs="Arial" w:eastAsia="Arial" w:hAnsi="Arial"/>
          <w:sz w:val="22"/>
          <w:szCs w:val="22"/>
        </w:rPr>
        <w:t xml:space="preserve">Análisis de la problemática del sector (mermas, desabastecimiento y compras ineficientes) respaldado en fuentes secundarias (DANE, BID, Fenalco y MinCIT) y en trabajo de campo propio: una encuesta estructurada en Google Forms a 15 negocios de comercio minorista de las localidades de Barrios Unidos, Usme, Santa Fe y Antonio Nariño (marzo de 2025). Documentado en el Documento de Práctica de Ingeniería 5, el documento de Reglas del Negocio y 20 planes de trabajo iterativos (docs/planes/*.md).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Corrige un dato falso del borrador: no fueron entrevistas ni en Kennedy, Suba y Engativá. Esa cifra viene del Plan de Negocio y la encuesta real la contradice. Los planes de trabajo ya son 20, no 18.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Modelo Conceptual: </w:t>
      </w:r>
      <w:r>
        <w:rPr>
          <w:rFonts w:ascii="Arial" w:cs="Arial" w:eastAsia="Arial" w:hAnsi="Arial"/>
          <w:sz w:val="22"/>
          <w:szCs w:val="22"/>
        </w:rPr>
        <w:t xml:space="preserve">Diagrama entidad-relación conceptual elaborado a partir de los sustantivos de las reglas del negocio (Tienda, Usuario, Producto, Venta, Movimiento de stock, Alerta, Proveedor, Orden de compra, Cliente, Abono y Sesión de caja), documentado en Documentacion/diagrama_er.md.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Se agregan Cliente, Abono y Sesión de caja, que existen en la base. Revisen que diagrama_er.md los incluya.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Modelo Entidad-Relación: </w:t>
      </w:r>
      <w:r>
        <w:rPr>
          <w:rFonts w:ascii="Arial" w:cs="Arial" w:eastAsia="Arial" w:hAnsi="Arial"/>
          <w:sz w:val="22"/>
          <w:szCs w:val="22"/>
        </w:rPr>
        <w:t xml:space="preserve">21 entidades de negocio relacionadas mediante claves foráneas, modeladas en PostgreSQL (22 tablas en total, contando la tabla técnica de sesiones de connect-pg-simple). El diagrama se mantiene en Markdown (Documentacion/diagrama_er.md) y se verifica contra el information_schema del motor.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Verifiqué el conteo en database/init_pg.sql: 22 tablas, de las cuales "session" es técnica. Las 21 entidades están bien.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Modelo Relacional: </w:t>
      </w:r>
      <w:r>
        <w:rPr>
          <w:rFonts w:ascii="Arial" w:cs="Arial" w:eastAsia="Arial" w:hAnsi="Arial"/>
          <w:sz w:val="22"/>
          <w:szCs w:val="22"/>
        </w:rPr>
        <w:t xml:space="preserve">Esquema relacional de 21 tablas de negocio en PostgreSQL 15, con relaciones 1:N y N:M. Las N:M se resuelven con tablas puente: VentasProductos (entre Ventas y Productos) y Ordenes_Detalle (entre Ordenes_Compra y Productos).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Feedback_IA no es un buen ejemplo de tabla puente: es una tabla de evaluación. VentasProductos es el ejemplo clásico.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 Normalización: </w:t>
      </w:r>
      <w:r>
        <w:rPr>
          <w:rFonts w:ascii="Arial" w:cs="Arial" w:eastAsia="Arial" w:hAnsi="Arial"/>
          <w:sz w:val="22"/>
          <w:szCs w:val="22"/>
        </w:rPr>
        <w:t xml:space="preserve">Esquema normalizado hasta la 3FN: sin grupos repetitivos ni dependencias parciales o transitivas. Por ejemplo, los datos del proveedor están separados de Ordenes_Compra y el historial de precios está separado de Productos (Historial_Precios).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En el Sprint 3 revisen tabla por tabla. Si alguna guarda datos derivados (saldos o totales calculados), documéntenla como desnormalización intencional, con su razón, en lugar de afirmar 3FN sin revisar.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la Estructura de las Bases de Datos, el DDL: </w:t>
      </w:r>
      <w:r>
        <w:rPr>
          <w:rFonts w:ascii="Arial" w:cs="Arial" w:eastAsia="Arial" w:hAnsi="Arial"/>
          <w:sz w:val="22"/>
          <w:szCs w:val="22"/>
        </w:rPr>
        <w:t xml:space="preserve">Sentencias CREATE TABLE, CREATE INDEX y ALTER TABLE en el script database/init_pg.sql y en migraciones incrementales (config/database.js y scripts/migrate.js), versionadas en Git.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El archivo database/db.js que cita el borrador no existe; el DDL está en database/init_pg.sql. seed_test_data.js es DML (carga de datos), no DDL.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manejo de los datos, DML: </w:t>
      </w:r>
      <w:r>
        <w:rPr>
          <w:rFonts w:ascii="Arial" w:cs="Arial" w:eastAsia="Arial" w:hAnsi="Arial"/>
          <w:sz w:val="22"/>
          <w:szCs w:val="22"/>
        </w:rPr>
        <w:t xml:space="preserve">Operaciones INSERT, UPDATE, DELETE y SELECT parametrizadas mediante el driver pg (node-postgres), encapsuladas en los modelos (/models) y controladores, para evitar la inyección SQL. Los datos de prueba se cargan con database/seed_test_data.js.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diseñar el CRUD en relación con el OLTP: </w:t>
      </w:r>
      <w:r>
        <w:rPr>
          <w:rFonts w:ascii="Arial" w:cs="Arial" w:eastAsia="Arial" w:hAnsi="Arial"/>
          <w:sz w:val="22"/>
          <w:szCs w:val="22"/>
        </w:rPr>
        <w:t xml:space="preserve">Cada módulo (Productos, Ventas, Movimientos, Alertas, Proveedores, Órdenes de compra y Clientes) implementa su CRUD con transacciones cortas y frecuentes, propias de un sistema OLTP. La integridad se garantiza con transacciones ACID de PostgreSQL. Por ejemplo, el registro de una venta bloquea el producto con SELECT … FOR UPDATE e inserta la venta, sus líneas y el movimiento de stock entre BEGIN y COMMIT; y Alert.generate usa BEGIN/COMMIT con un bloqueo de asesoría (pg_advisory_xact_lock).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Verificado en controllers/saleController.js y models/Alert.js.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 Gestor de las Bases de Datos (DBMS): </w:t>
      </w:r>
      <w:r>
        <w:rPr>
          <w:rFonts w:ascii="Arial" w:cs="Arial" w:eastAsia="Arial" w:hAnsi="Arial"/>
          <w:sz w:val="22"/>
          <w:szCs w:val="22"/>
        </w:rPr>
        <w:t xml:space="preserve">PostgreSQL 15, alojado en Neon y administrado desde su consola web y con clientes SQL estándar (psql y DBeaver). Además, Redis como almacén en memoria para sesiones y contadores de límite de peticiones, activable con la variable REDIS_URL.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Confirmen si producción tiene REDIS_URL definida. Si no, dejen solo "activable con REDIS_URL"; no digan que producción usa Redis.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Backend, en los procesos: </w:t>
      </w:r>
      <w:r>
        <w:rPr>
          <w:rFonts w:ascii="Arial" w:cs="Arial" w:eastAsia="Arial" w:hAnsi="Arial"/>
          <w:sz w:val="22"/>
          <w:szCs w:val="22"/>
        </w:rPr>
        <w:t xml:space="preserve">Node.js 22 con arquitectura MVC en capas: rutas (/routes) → controladores (/controllers) → modelos (/models), con 19 archivos de rutas, procesos asíncronos no bloqueantes y tareas programadas con node-cron (resumen semanal, reversión de precios, evaluación de la IA y respaldo con pg_dump).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Framework: </w:t>
      </w:r>
      <w:r>
        <w:rPr>
          <w:rFonts w:ascii="Arial" w:cs="Arial" w:eastAsia="Arial" w:hAnsi="Arial"/>
          <w:sz w:val="22"/>
          <w:szCs w:val="22"/>
        </w:rPr>
        <w:t xml:space="preserve">Express 4 en el backend y React 19 con Vite en el frontend.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REST utilizadas: </w:t>
      </w:r>
      <w:r>
        <w:rPr>
          <w:rFonts w:ascii="Arial" w:cs="Arial" w:eastAsia="Arial" w:hAnsi="Arial"/>
          <w:sz w:val="22"/>
          <w:szCs w:val="22"/>
        </w:rPr>
        <w:t xml:space="preserve">API REST propia (endpoints de StockPilot bajo /api) y consumo de APIs externas: OpenAI (GPT-4o-mini) para recomendaciones de compra, promociones y riesgo de fiados, y Resend para el envío de correos.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 el Frontend: </w:t>
      </w:r>
      <w:r>
        <w:rPr>
          <w:rFonts w:ascii="Arial" w:cs="Arial" w:eastAsia="Arial" w:hAnsi="Arial"/>
          <w:sz w:val="22"/>
          <w:szCs w:val="22"/>
        </w:rPr>
        <w:t xml:space="preserve">React 19 + Vite + TailwindCSS 4, con React Router 7 para el enrutamiento, Recharts para la visualización de datos y lucide-react para la iconografía.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SOA, microservicios, Docker y Kubernetes: </w:t>
      </w:r>
      <w:r>
        <w:rPr>
          <w:rFonts w:ascii="Arial" w:cs="Arial" w:eastAsia="Arial" w:hAnsi="Arial"/>
          <w:sz w:val="22"/>
          <w:szCs w:val="22"/>
        </w:rPr>
        <w:t xml:space="preserve">Arquitectura actual: monolito en capas (un backend y un frontend SPA), sin microservicios. La migración completa no se justifica: el registro de una venta es una sola transacción ACID que se perdería al repartirla entre servicios, y la carga medida (12,9 peticiones/s con una instancia) supera la demanda estimada. La evolución se planea por extracción gradual (patrón Strangler Fig) en el Sprint 6.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Este texto es válido hoy. Reemplácenlo al cerrar el Sprint 6 por el recuadro verde.</w:t>
      </w:r>
    </w:p>
    <w:p>
      <w:pPr>
        <w:pBdr>
          <w:left w:val="single" w:color="548235" w:sz="18" w:space="6"/>
        </w:pBdr>
        <w:shd w:fill="E2EFDA" w:color="auto" w:val="clear"/>
        <w:spacing w:after="16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Texto para cuando se cierre el sprint: </w:t>
      </w:r>
      <w:r>
        <w:rPr>
          <w:rFonts w:ascii="Arial" w:cs="Arial" w:eastAsia="Arial" w:hAnsi="Arial"/>
          <w:color w:val="1E3A12"/>
          <w:sz w:val="20"/>
          <w:szCs w:val="20"/>
        </w:rPr>
        <w:t xml:space="preserve">Monolito con extracción gradual (patrón Strangler Fig): el servicio de inteligencia artificial se separó como microservicio independiente (ia-service), con contrato REST documentado en OpenAPI y base de datos propia, y las tareas programadas pasaron a un proceso worker. Los servicios se empaquetan con Docker, se orquestan localmente con Docker Compose y se despliegan en Kubernetes (kind) con Nginx como API Gateway. El registro de ventas permanece en el monolito para conservar su transacción ACID.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Bases de Datos Distribuidas: </w:t>
      </w:r>
      <w:r>
        <w:rPr>
          <w:rFonts w:ascii="Arial" w:cs="Arial" w:eastAsia="Arial" w:hAnsi="Arial"/>
          <w:sz w:val="22"/>
          <w:szCs w:val="22"/>
        </w:rPr>
        <w:t xml:space="preserve">Una instancia de PostgreSQL (Neon) como base transaccional central. Redis está soportado en el código como almacén distribuido de sesiones y límite de peticiones compartido entre réplicas. La separación de datos por servicio y de la carga analítica se implementa en el Sprint 7.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Reemplácenlo al cerrar el Sprint 7.</w:t>
      </w:r>
    </w:p>
    <w:p>
      <w:pPr>
        <w:pBdr>
          <w:left w:val="single" w:color="548235" w:sz="18" w:space="6"/>
        </w:pBdr>
        <w:shd w:fill="E2EFDA" w:color="auto" w:val="clear"/>
        <w:spacing w:after="16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Texto para cuando se cierre el sprint: </w:t>
      </w:r>
      <w:r>
        <w:rPr>
          <w:rFonts w:ascii="Arial" w:cs="Arial" w:eastAsia="Arial" w:hAnsi="Arial"/>
          <w:color w:val="1E3A12"/>
          <w:sz w:val="20"/>
          <w:szCs w:val="20"/>
        </w:rPr>
        <w:t xml:space="preserve">Persistencia distribuida por servicio: PostgreSQL para la base transaccional del monolito, un esquema propio para el microservicio de IA y un esquema analítico separado (dw). Redis funciona como almacén distribuido de sesiones y límite de peticiones compartido entre las réplicas del API. Se separa la carga transaccional (OLTP) de la analítica (OLAP).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Herramientas de Tecnologías en ETL / ELT: </w:t>
      </w:r>
      <w:r>
        <w:rPr>
          <w:rFonts w:ascii="Arial" w:cs="Arial" w:eastAsia="Arial" w:hAnsi="Arial"/>
          <w:sz w:val="22"/>
          <w:szCs w:val="22"/>
        </w:rPr>
        <w:t xml:space="preserve">Aún no hay un proceso ETL/ELT: las agregaciones del dashboard, la clasificación ABC y la proyección de agotamiento se calculan bajo demanda sobre la base operacional. El proceso ELT se implementa en el Sprint 7.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Reemplácenlo al cerrar el Sprint 7.</w:t>
      </w:r>
    </w:p>
    <w:p>
      <w:pPr>
        <w:pBdr>
          <w:left w:val="single" w:color="548235" w:sz="18" w:space="6"/>
        </w:pBdr>
        <w:shd w:fill="E2EFDA" w:color="auto" w:val="clear"/>
        <w:spacing w:after="16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Texto para cuando se cierre el sprint: </w:t>
      </w:r>
      <w:r>
        <w:rPr>
          <w:rFonts w:ascii="Arial" w:cs="Arial" w:eastAsia="Arial" w:hAnsi="Arial"/>
          <w:color w:val="1E3A12"/>
          <w:sz w:val="20"/>
          <w:szCs w:val="20"/>
        </w:rPr>
        <w:t xml:space="preserve">Proceso ELT incremental ejecutado cada noche por el worker: extrae las ventas nuevas por marca de agua, las transforma con SQL dentro del propio PostgreSQL (INSERT … SELECT idempotente) y registra cada ejecución y su control de calidad (conciliación de totales con la base transaccional).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 para generar el Data Warehouse: </w:t>
      </w:r>
      <w:r>
        <w:rPr>
          <w:rFonts w:ascii="Arial" w:cs="Arial" w:eastAsia="Arial" w:hAnsi="Arial"/>
          <w:sz w:val="22"/>
          <w:szCs w:val="22"/>
        </w:rPr>
        <w:t xml:space="preserve">Aún no hay un almacén analítico: los reportes se generan sobre la base operacional. En el Sprint 7 se implementa un data mart con modelo en estrella en un esquema separado del mismo PostgreSQL. Un motor especializado (Redshift, BigQuery o Snowflake) no se justifica para el volumen de una microempresa.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Reemplácenlo al cerrar el Sprint 7.</w:t>
      </w:r>
    </w:p>
    <w:p>
      <w:pPr>
        <w:pBdr>
          <w:left w:val="single" w:color="548235" w:sz="18" w:space="6"/>
        </w:pBdr>
        <w:shd w:fill="E2EFDA" w:color="auto" w:val="clear"/>
        <w:spacing w:after="160" w:before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Texto para cuando se cierre el sprint: </w:t>
      </w:r>
      <w:r>
        <w:rPr>
          <w:rFonts w:ascii="Arial" w:cs="Arial" w:eastAsia="Arial" w:hAnsi="Arial"/>
          <w:color w:val="1E3A12"/>
          <w:sz w:val="20"/>
          <w:szCs w:val="20"/>
        </w:rPr>
        <w:t xml:space="preserve">Data mart con modelo en estrella en el esquema dw de PostgreSQL: tabla de hechos de ventas (grano: línea de venta) y foto diaria de inventario, con las dimensiones tiempo, producto, tienda, cliente y método de pago.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 en la Analítica de Datos: </w:t>
      </w:r>
      <w:r>
        <w:rPr>
          <w:rFonts w:ascii="Arial" w:cs="Arial" w:eastAsia="Arial" w:hAnsi="Arial"/>
          <w:sz w:val="22"/>
          <w:szCs w:val="22"/>
        </w:rPr>
        <w:t xml:space="preserve">Motor de reposición propio (utils/reposicion.js): velocidad de venta de 30 días ajustada por un factor de tendencia (7 frente a 30 días, acotado entre 0,5 y 2), clasificación ABC/Pareto, proyección de agotamiento y punto de reorden (ROP); combinado con IA generativa (OpenAI GPT-4o-mini) para recomendaciones, y Recharts para la visualización en el dashboard.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El borrador decía "velocidades ponderadas", que no es el cálculo real. Verificado en el código.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Herramientas en las Pruebas: </w:t>
      </w:r>
      <w:r>
        <w:rPr>
          <w:rFonts w:ascii="Arial" w:cs="Arial" w:eastAsia="Arial" w:hAnsi="Arial"/>
          <w:sz w:val="22"/>
          <w:szCs w:val="22"/>
        </w:rPr>
        <w:t xml:space="preserve">Vitest para dos suites automatizadas: 196 pruebas unitarias de la lógica de negocio (13 archivos) y 47 pruebas de integración que ejecutan la API completa con supertest contra una base PostgreSQL de pruebas aislada (stockpilot_test), en 7 flujos críticos: venta concurrente, caja, cartera, generación concurrente de alertas, aislamiento entre tiendas, autenticación y caída de la IA. Resultado: 243 de 243 aprobadas (27 de septiembre de 2026). Cobertura medida con @vitest/coverage-v8 sobre todo el backend (controladores, modelos, middleware, utilidades y servicios): 35,0 % de sentencias con ambas suites (10,5 % solo con las unitarias), frente a una línea base de 8,2 %; un umbral mínimo en vitest.config.js impide que la cobertura unitaria retroceda. Playwright para pruebas de extremo a extremo de los flujos de usuario.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La cobertura ya se mide sobre todo el backend, no sobre 5 módulos elegidos (el 99,27 % anterior solo valía para esos 5 y no debe volver a usarse). El 35,0 % combina los reportes de ambas suites; npm run test:coverage solo mide las unitarias y da 10,5 %. Si les preguntan: las pruebas de integración encontraron y se corrigieron cuatro defectos, entre ellos una sobreventa con ventas simultáneas en el punto de venta, y las unitarias un error de redondeo en el punto de reorden.</w:t>
      </w:r>
    </w:p>
    <w:p>
      <w:pPr>
        <w:pStyle w:val="ListParagraph"/>
        <w:numPr>
          <w:ilvl w:val="0"/>
          <w:numId w:val="2"/>
        </w:numPr>
        <w:spacing w:after="8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Puesta en Marcha – Sustentación del Proyecto: </w:t>
      </w:r>
      <w:r>
        <w:rPr>
          <w:rFonts w:ascii="Arial" w:cs="Arial" w:eastAsia="Arial" w:hAnsi="Arial"/>
          <w:sz w:val="22"/>
          <w:szCs w:val="22"/>
        </w:rPr>
        <w:t xml:space="preserve">Aplicación desplegada en la nube: backend Express en Render (que también sirve el frontend compilado) y base de datos PostgreSQL en Neon. En el Sprint 6 se agrega un entorno contenerizado con Docker Compose para la demostración de la arquitectura distribuida.</w:t>
      </w:r>
    </w:p>
    <w:p>
      <w:pPr>
        <w:pBdr>
          <w:left w:val="single" w:color="C55A11" w:sz="18" w:space="6"/>
        </w:pBdr>
        <w:shd w:fill="FBE5D6" w:color="auto" w:val="clear"/>
        <w:spacing w:after="160" w:before="60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INSTRUCCIÓN (no copiar): </w:t>
      </w:r>
      <w:r>
        <w:rPr>
          <w:rFonts w:ascii="Arial" w:cs="Arial" w:eastAsia="Arial" w:hAnsi="Arial"/>
          <w:color w:val="833C0B"/>
          <w:sz w:val="19"/>
          <w:szCs w:val="19"/>
        </w:rPr>
        <w:t xml:space="preserve">Su borrador tenía este punto vacío. Ajústenlo a lo que muestren en la sustentación.</w:t>
      </w:r>
    </w:p>
    <w:sectPr>
      <w:pgSz w:w="12240" w:h="15840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2026-09-26T02:42:32.863Z</dcterms:created>
  <dcterms:modified xsi:type="dcterms:W3CDTF">2026-09-26T02:42:32.863Z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