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Plan de Negocio StockPilot — Secciones corregidas para reemplazar</w:t>
      </w:r>
    </w:p>
    <w:p>
      <w:pPr>
        <w:spacing w:after="240"/>
        <w:jc w:val="center"/>
      </w:pPr>
      <w:r>
        <w:rPr>
          <w:rFonts w:ascii="Times New Roman" w:cs="Times New Roman" w:eastAsia="Times New Roman" w:hAnsi="Times New Roman"/>
          <w:i/>
          <w:iCs/>
          <w:sz w:val="20"/>
          <w:szCs w:val="20"/>
        </w:rPr>
        <w:t xml:space="preserve">Versión del 27 de septiembre de 2026 (v2: se agregan los gastos del trabajo desde casa y de los equipos) · Base: escenario base del modelo financiero, con el equipo creciendo según la carga de trabajo</w:t>
      </w:r>
    </w:p>
    <w:p>
      <w:pPr>
        <w:spacing w:after="120" w:line="300"/>
        <w:jc w:val="both"/>
      </w:pPr>
      <w:r>
        <w:rPr>
          <w:rFonts w:ascii="Times New Roman" w:cs="Times New Roman" w:eastAsia="Times New Roman" w:hAnsi="Times New Roman"/>
          <w:sz w:val="24"/>
          <w:szCs w:val="24"/>
        </w:rPr>
        <w:t xml:space="preserve">Cada sección empieza con un recuadro naranja de instrucción que </w:t>
      </w:r>
      <w:r>
        <w:rPr>
          <w:rFonts w:ascii="Times New Roman" w:cs="Times New Roman" w:eastAsia="Times New Roman" w:hAnsi="Times New Roman"/>
          <w:b/>
          <w:bCs/>
          <w:sz w:val="24"/>
          <w:szCs w:val="24"/>
        </w:rPr>
        <w:t xml:space="preserve">no se copia</w:t>
      </w:r>
      <w:r>
        <w:rPr>
          <w:rFonts w:ascii="Times New Roman" w:cs="Times New Roman" w:eastAsia="Times New Roman" w:hAnsi="Times New Roman"/>
          <w:sz w:val="24"/>
          <w:szCs w:val="24"/>
        </w:rPr>
        <w:t xml:space="preserve">: indica qué parte del documento original reemplaza. Copie desde el título de la sección hasta antes del siguiente recuadro. Todas las cifras salen del archivo </w:t>
      </w:r>
      <w:r>
        <w:rPr>
          <w:rFonts w:ascii="Times New Roman" w:cs="Times New Roman" w:eastAsia="Times New Roman" w:hAnsi="Times New Roman"/>
          <w:i/>
          <w:iCs/>
          <w:sz w:val="24"/>
          <w:szCs w:val="24"/>
        </w:rPr>
        <w:t xml:space="preserve">StockPilot_Modelo_Financiero_5_anios_v2.xlsx</w:t>
      </w:r>
      <w:r>
        <w:rPr>
          <w:rFonts w:ascii="Times New Roman" w:cs="Times New Roman" w:eastAsia="Times New Roman" w:hAnsi="Times New Roman"/>
          <w:sz w:val="24"/>
          <w:szCs w:val="24"/>
        </w:rPr>
        <w:t xml:space="preserve"> (hoja Base); si cambian un supuesto en el modelo, deben actualizar las cifras aquí.</w:t>
      </w:r>
    </w:p>
    <w:p>
      <w:pPr>
        <w:keepNext/>
        <w:spacing w:after="100" w:before="200"/>
      </w:pPr>
      <w:r>
        <w:rPr>
          <w:rFonts w:ascii="Times New Roman" w:cs="Times New Roman" w:eastAsia="Times New Roman" w:hAnsi="Times New Roman"/>
          <w:b/>
          <w:bCs/>
          <w:sz w:val="24"/>
          <w:szCs w:val="24"/>
        </w:rPr>
        <w:t xml:space="preserve">Índice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Sección</w:t>
            </w:r>
          </w:p>
        </w:tc>
        <w:tc>
          <w:tcPr>
            <w:tcW w:type="dxa" w:w="7301"/>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Qué se corrige</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Portada</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Subtítulo alineado con el nuevo título del proyecto.</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0 (Objetivo y metas)</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Ventas del año 1 ($39,9M → $29,9M); empleos del año 1; contrapartida en especie; población (comercio minorista).</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Tipo de negocio y localización alineados con el proyecto (víveres, Bogotá) y con la encuesta.</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2.3 (nueva)</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Tarjeta persona construida con la encuesta, como pide la guía del Fondo Emprender.</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3.3 y 5.4</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Validación de mercado con los datos reales de la encuesta (n = 15). Se elimina la tabla duplicada.</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4.1 y 4.3</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Precios verificados de Treinta; afirmaciones sin fuente matizadas; FODA con amenazas.</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5.5</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Motivaciones basadas en la encuesta, sin porcentajes que no se midieron.</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6.1 y 6.2</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Pruebas (149), PWA, piloto y ventas según la evidencia real.</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7.1</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Características técnicas corregidas (PWA, roles).</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8.2</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Proyección mensual del año 1 con abandono de clientes aplicado.</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8.3</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Presupuesto de marketing unificado ($5,8M → $9,0M) y responsables sin cargos que no se contratan.</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9.1</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Precio sin IVA con su justificación.</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11.1 y 11.2</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Arquitectura (monolito modular, sesiones), error "OpenAL" y rendimiento medido.</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12.1 y 12.2</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Coworking desde el año 3; la nube sale de la inversión (es un costo).</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12.3.1 (nueva)</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Requisitos mínimos de cómputo y gastos del trabajo desde casa (energía, internet y reposición de equipos), incluidos en el modelo financiero y en la sección 17.</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13 y 14.1</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Responsables del proceso y capacidad validada.</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15.2</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Regla de contratación por carga de trabajo, con costo real de nómina (prestaciones).</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16.1 y 16.2</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Arranque sin coworking ni contrataciones.</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17 (completo)</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Proyección a 5 años: ingresos, costos, gastos, flujo de caja, inversión, capital de trabajo, fuentes, indicadores y escenarios. Reemplaza 17.1 a 17.8.</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18.2</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Matriz de riesgos con riesgo de adopción, medio ambiente y otros.</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Módulo VII</w:t>
            </w:r>
          </w:p>
        </w:tc>
        <w:tc>
          <w:tcPr>
            <w:tcW w:type="dxa" w:w="730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Resumen ejecutivo coherente con todo lo anterior.</w:t>
            </w:r>
          </w:p>
        </w:tc>
      </w:tr>
    </w:tbl>
    <w:p>
      <w:pPr>
        <w:spacing w:after="120"/>
      </w:pP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Quedan dos verificaciones que no pude hacer: los precios vigentes de Alegra y Siigo en la tabla 4.1, y la confirmación con un contador de la exclusión de IVA y de la exoneración de aportes (art. 114-1 ET).</w:t>
      </w: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la portada, reemplace el subtítulo "Sistema Inteligente de Gestión de Inventarios y Ventas con Inteligencia Artificial Predictiva" por el siguiente.</w:t>
      </w:r>
    </w:p>
    <w:p>
      <w:pPr>
        <w:spacing w:after="120" w:line="300"/>
        <w:jc w:val="both"/>
      </w:pPr>
      <w:r>
        <w:rPr>
          <w:rFonts w:ascii="Times New Roman" w:cs="Times New Roman" w:eastAsia="Times New Roman" w:hAnsi="Times New Roman"/>
          <w:b/>
          <w:bCs/>
          <w:sz w:val="24"/>
          <w:szCs w:val="24"/>
        </w:rPr>
        <w:t xml:space="preserve">Plataforma web de gestión comercial asistida por inteligencia artificial para microempresas de comercio minorista en Bogotá</w:t>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en el Módulo 0 el párrafo "Objetivo General del Proyecto" y la tabla "Metas del primer año".</w:t>
      </w:r>
    </w:p>
    <w:p>
      <w:pPr>
        <w:keepNext/>
        <w:spacing w:after="100" w:before="200"/>
      </w:pPr>
      <w:r>
        <w:rPr>
          <w:rFonts w:ascii="Times New Roman" w:cs="Times New Roman" w:eastAsia="Times New Roman" w:hAnsi="Times New Roman"/>
          <w:b/>
          <w:bCs/>
          <w:sz w:val="24"/>
          <w:szCs w:val="24"/>
        </w:rPr>
        <w:t xml:space="preserve">Objetivo General del Proyecto:</w:t>
      </w:r>
    </w:p>
    <w:p>
      <w:pPr>
        <w:spacing w:after="120" w:line="300"/>
        <w:jc w:val="both"/>
      </w:pPr>
      <w:r>
        <w:rPr>
          <w:rFonts w:ascii="Times New Roman" w:cs="Times New Roman" w:eastAsia="Times New Roman" w:hAnsi="Times New Roman"/>
          <w:sz w:val="24"/>
          <w:szCs w:val="24"/>
        </w:rPr>
        <w:t xml:space="preserve">Validar y posicionar StockPilot como una plataforma de gestión comercial asistida por inteligencia artificial para microempresas de comercio minorista de Bogotá, empezando por las tiendas de víveres, alcanzando </w:t>
      </w:r>
      <w:r>
        <w:rPr>
          <w:rFonts w:ascii="Times New Roman" w:cs="Times New Roman" w:eastAsia="Times New Roman" w:hAnsi="Times New Roman"/>
          <w:b/>
          <w:bCs/>
          <w:sz w:val="24"/>
          <w:szCs w:val="24"/>
        </w:rPr>
        <w:t xml:space="preserve">120 clientes activos al finalizar el primer año de operación comercial</w:t>
      </w:r>
      <w:r>
        <w:rPr>
          <w:rFonts w:ascii="Times New Roman" w:cs="Times New Roman" w:eastAsia="Times New Roman" w:hAnsi="Times New Roman"/>
          <w:sz w:val="24"/>
          <w:szCs w:val="24"/>
        </w:rPr>
        <w:t xml:space="preserve">, con </w:t>
      </w:r>
      <w:r>
        <w:rPr>
          <w:rFonts w:ascii="Times New Roman" w:cs="Times New Roman" w:eastAsia="Times New Roman" w:hAnsi="Times New Roman"/>
          <w:b/>
          <w:bCs/>
          <w:sz w:val="24"/>
          <w:szCs w:val="24"/>
        </w:rPr>
        <w:t xml:space="preserve">ingresos acumulados de COP 29.925.000</w:t>
      </w:r>
      <w:r>
        <w:rPr>
          <w:rFonts w:ascii="Times New Roman" w:cs="Times New Roman" w:eastAsia="Times New Roman" w:hAnsi="Times New Roman"/>
          <w:sz w:val="24"/>
          <w:szCs w:val="24"/>
        </w:rPr>
        <w:t xml:space="preserve"> y una operación sostenible a cargo del equipo fundador, que incorporará personal a medida que la carga de trabajo lo exija.</w:t>
      </w:r>
    </w:p>
    <w:p>
      <w:pPr>
        <w:keepNext/>
        <w:spacing w:after="100" w:before="200"/>
      </w:pPr>
      <w:r>
        <w:rPr>
          <w:rFonts w:ascii="Times New Roman" w:cs="Times New Roman" w:eastAsia="Times New Roman" w:hAnsi="Times New Roman"/>
          <w:b/>
          <w:bCs/>
          <w:sz w:val="24"/>
          <w:szCs w:val="24"/>
        </w:rPr>
        <w:t xml:space="preserve">Metas del primer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tblHeader/>
        </w:trPr>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Indicador</w:t>
            </w:r>
          </w:p>
        </w:tc>
        <w:tc>
          <w:tcPr>
            <w:tcW w:type="dxa" w:w="1872"/>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Meta (Año 1)</w:t>
            </w:r>
          </w:p>
        </w:tc>
        <w:tc>
          <w:tcPr>
            <w:tcW w:type="dxa" w:w="542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Justificación</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Empleos directos</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0 (año 1)</w:t>
            </w:r>
          </w:p>
          <w:p>
            <w:pPr>
              <w:spacing w:after="30" w:line="250"/>
              <w:jc w:val="left"/>
            </w:pPr>
            <w:r>
              <w:rPr>
                <w:rFonts w:ascii="Times New Roman" w:cs="Times New Roman" w:eastAsia="Times New Roman" w:hAnsi="Times New Roman"/>
                <w:b w:val="false"/>
                <w:bCs w:val="false"/>
                <w:sz w:val="19"/>
                <w:szCs w:val="19"/>
              </w:rPr>
              <w:t xml:space="preserve">Primer empleo: mes 31</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Los tres fundadores cubren ventas, soporte y desarrollo mientras la carga de trabajo no supere su capacidad (ver 15.2). El primer colaborador se vincula cuando la operación lo requiere; al año 5 el equipo tiene 3 colaboradores.</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Ventas (ingresos acumulados)</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COP 29.925.000</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120 clientes al mes 12 a $39.900/mes, con crecimiento gradual (10 en el mes 1 → 120 en el mes 12). Ver 8.2.</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Clientes activos (fin de año)</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120</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 consiguen 139 clientes nuevos y se retiran 19 (abandono del 3 % mensual).</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Mercadeo (eventos)</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 eventos</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Ferias de emprendimiento y retail en Bogotá.</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Contrapartida (aporte en especie)</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COP 80.000.000</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Trabajo no remunerado de los tres fundadores durante el año 1, valorado a costo de mercado (medio tiempo). Los equipos de cómputo son propios; su desgaste se cubre con la reserva de reposición (ver 12.3.1).</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Empleos indirectos</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Asesoría legal y contable externa (honorarios).</w:t>
            </w:r>
          </w:p>
        </w:tc>
      </w:tr>
    </w:tbl>
    <w:p>
      <w:pPr>
        <w:spacing w:after="120"/>
      </w:pP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en la tabla 1.1 solo las filas "Tipo de negocio", "Localización" y "Concentración geográfica".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Característica</w:t>
            </w:r>
          </w:p>
        </w:tc>
        <w:tc>
          <w:tcPr>
            <w:tcW w:type="dxa" w:w="673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Tipo de negocio</w:t>
            </w:r>
          </w:p>
        </w:tc>
        <w:tc>
          <w:tcPr>
            <w:tcW w:type="dxa" w:w="67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Microempresas de comercio minorista. Segmento inicial: tiendas de barrio y minimercados de víveres. Segmento de expansión: otros comercios de barrio, como misceláneas, fruvers, papelerías y ferreterías.</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Localización</w:t>
            </w:r>
          </w:p>
        </w:tc>
        <w:tc>
          <w:tcPr>
            <w:tcW w:type="dxa" w:w="67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Zonas urbanas de Bogotá, estratos 1 a 4, con acceso a internet móvil.</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Concentración geográfica</w:t>
            </w:r>
          </w:p>
        </w:tc>
        <w:tc>
          <w:tcPr>
            <w:tcW w:type="dxa" w:w="673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Año 1-3: Bogotá (validación inicial en Barrios Unidos, Usme, Santa Fe y Antonio Nariño; expansión a Kennedy, Suba y Engativá, las localidades con mayor concentración comercial). Años 4-5: expansión a Medellín y Cali.</w:t>
            </w:r>
          </w:p>
        </w:tc>
      </w:tr>
    </w:tbl>
    <w:p>
      <w:pPr>
        <w:spacing w:after="120"/>
      </w:pP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Sección NUEVA. Insértela después de la tabla 2.2 (Necesidades de los Consumidores).</w:t>
      </w:r>
    </w:p>
    <w:p>
      <w:pPr>
        <w:keepNext/>
        <w:spacing w:after="100" w:before="200"/>
      </w:pPr>
      <w:r>
        <w:rPr>
          <w:rFonts w:ascii="Times New Roman" w:cs="Times New Roman" w:eastAsia="Times New Roman" w:hAnsi="Times New Roman"/>
          <w:b/>
          <w:bCs/>
          <w:sz w:val="24"/>
          <w:szCs w:val="24"/>
        </w:rPr>
        <w:t xml:space="preserve">2.3. Tarjeta Persona</w:t>
      </w:r>
    </w:p>
    <w:p>
      <w:pPr>
        <w:spacing w:after="120" w:line="300"/>
        <w:jc w:val="both"/>
      </w:pPr>
      <w:r>
        <w:rPr>
          <w:rFonts w:ascii="Times New Roman" w:cs="Times New Roman" w:eastAsia="Times New Roman" w:hAnsi="Times New Roman"/>
          <w:sz w:val="24"/>
          <w:szCs w:val="24"/>
        </w:rPr>
        <w:t xml:space="preserve">La siguiente tarjeta persona es un arquetipo construido a partir de las respuestas más frecuentes de la encuesta aplicada por el equipo a 15 tenderos de Bogotá (marzo de 2025). No describe a una persona real, sino el perfil típico que orienta el diseño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Elemento</w:t>
            </w:r>
          </w:p>
        </w:tc>
        <w:tc>
          <w:tcPr>
            <w:tcW w:type="dxa" w:w="692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Arquetipo</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Dueña o dueño de tienda de barrio, entre 1 y más de 6 años en el negocio.</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Su negocio</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Maneja entre 100 y 300 productos (53 % de los encuestados).</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Cómo gestiona hoy</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Anota en libreta o papel (73 %). Actualiza el inventario una vez al mes o solo cuando hay problemas (67 %). Nunca ha usado una herramienta digital para esto (67 %).</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Tecnología disponible</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Teléfono celular (67 %); pocas veces computador (33 %).</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Qué le duele (Jobs to be done)</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Que los registros tengan errores (53 %), quedarse sin producto sin aviso (33 %) y tener productos que no se venden (33 %).</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Qué quiere lograr</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Reducir pérdidas económicas (73 %), ahorrar tiempo (60 %) y tener registros precisos (47 %).</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Qué le frena</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tiene tiempo para aprender una herramienta nueva (80 %) y teme el costo (53 %).</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Qué necesita de StockPilot</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Registrar ventas y entradas muy rápido, recibir alertas claras y saber qué pedir, con una interfaz sencilla que no exija capacitación larga.</w:t>
            </w:r>
          </w:p>
        </w:tc>
      </w:tr>
    </w:tbl>
    <w:p>
      <w:pPr>
        <w:spacing w:after="120"/>
      </w:pP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 sección 5.4 completa (tabla de metodología y tabla de resultados clave). En la sección 3.3 borre las dos tablas y deje solo esta frase: "La metodología y los resultados de la validación de mercado se presentan en la sección 5.4."</w:t>
      </w:r>
    </w:p>
    <w:p>
      <w:pPr>
        <w:keepNext/>
        <w:spacing w:after="100" w:before="200"/>
      </w:pPr>
      <w:r>
        <w:rPr>
          <w:rFonts w:ascii="Times New Roman" w:cs="Times New Roman" w:eastAsia="Times New Roman" w:hAnsi="Times New Roman"/>
          <w:b/>
          <w:bCs/>
          <w:sz w:val="24"/>
          <w:szCs w:val="24"/>
        </w:rPr>
        <w:t xml:space="preserve">5.4. Validación de Mercado (Metodología y Resultados)</w:t>
      </w:r>
    </w:p>
    <w:p>
      <w:pPr>
        <w:spacing w:after="120" w:line="300"/>
        <w:jc w:val="both"/>
      </w:pPr>
      <w:r>
        <w:rPr>
          <w:rFonts w:ascii="Times New Roman" w:cs="Times New Roman" w:eastAsia="Times New Roman" w:hAnsi="Times New Roman"/>
          <w:sz w:val="24"/>
          <w:szCs w:val="24"/>
        </w:rPr>
        <w:t xml:space="preserve">La validación se realizó en dos etapas. En la primera, el equipo usó el Lean Canvas para definir el problema, los segmentos y la propuesta de valor. En la segunda, aplicó una </w:t>
      </w:r>
      <w:r>
        <w:rPr>
          <w:rFonts w:ascii="Times New Roman" w:cs="Times New Roman" w:eastAsia="Times New Roman" w:hAnsi="Times New Roman"/>
          <w:b/>
          <w:bCs/>
          <w:sz w:val="24"/>
          <w:szCs w:val="24"/>
        </w:rPr>
        <w:t xml:space="preserve">encuesta estructurada de 15 preguntas a 15 negocios de Bogotá</w:t>
      </w:r>
      <w:r>
        <w:rPr>
          <w:rFonts w:ascii="Times New Roman" w:cs="Times New Roman" w:eastAsia="Times New Roman" w:hAnsi="Times New Roman"/>
          <w:sz w:val="24"/>
          <w:szCs w:val="24"/>
        </w:rPr>
        <w:t xml:space="preserve"> (23 y 24 de marzo de 2025), diligenciada en el establecimiento, para conocer cómo gestionan hoy su inventario, qué dificultades tienen, qué funcionalidades consideran esenciales y qué les impide adoptar una herramienta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498"/>
        <w:gridCol w:w="1685"/>
        <w:gridCol w:w="2621"/>
        <w:gridCol w:w="2246"/>
      </w:tblGrid>
      <w:tr>
        <w:trPr>
          <w:tblHeader/>
        </w:trPr>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Etapa</w:t>
            </w:r>
          </w:p>
        </w:tc>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Herramienta</w:t>
            </w:r>
          </w:p>
        </w:tc>
        <w:tc>
          <w:tcPr>
            <w:tcW w:type="dxa" w:w="168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Participantes</w:t>
            </w:r>
          </w:p>
        </w:tc>
        <w:tc>
          <w:tcPr>
            <w:tcW w:type="dxa" w:w="2621"/>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c>
          <w:tcPr>
            <w:tcW w:type="dxa" w:w="224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Estado / resultado</w:t>
            </w:r>
          </w:p>
        </w:tc>
      </w:tr>
      <w:tr>
        <w:trPr>
          <w:cantSplit/>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 Descubrimiento</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Lean Canvas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Equipo fundador</w:t>
            </w:r>
          </w:p>
        </w:tc>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Segmentos, problema, solución, métricas y ventaja competitiva</w:t>
            </w:r>
          </w:p>
        </w:tc>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Problema central definido: falta de control del inventario, pérdidas y faltantes</w:t>
            </w:r>
          </w:p>
        </w:tc>
      </w:tr>
      <w:tr>
        <w:trPr>
          <w:cantSplit/>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 Diagnóstico</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Encuesta estructurada (Google Forms)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15 negocios en Barrios Unidos (6), Usme (4), Santa Fe (4) y Antonio Nariño (1)</w:t>
            </w:r>
          </w:p>
        </w:tc>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Gestión actual, dificultades, funcionalidades esenciales y barreras de adopción</w:t>
            </w:r>
          </w:p>
        </w:tc>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Ejecutada (marzo de 2025)</w:t>
            </w:r>
          </w:p>
        </w:tc>
      </w:tr>
      <w:tr>
        <w:trPr>
          <w:cantSplit/>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 Validación técnica</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Tiendas de prueba con datos representativos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 tiendas de prueba</w:t>
            </w:r>
          </w:p>
        </w:tc>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Pruebas automatizadas, de carga y de operación de la IA</w:t>
            </w:r>
          </w:p>
        </w:tc>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Ejecutada: 149 pruebas automatizadas</w:t>
            </w:r>
          </w:p>
        </w:tc>
      </w:tr>
      <w:tr>
        <w:trPr>
          <w:cantSplit/>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 Usabilidad</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Prueba con tareas guiadas y cuestionario SUS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 tenderos</w:t>
            </w:r>
          </w:p>
        </w:tc>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Medir si pueden usar el sistema sin ayuda</w:t>
            </w:r>
          </w:p>
        </w:tc>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Diseñada, pendiente de ejecución</w:t>
            </w:r>
          </w:p>
        </w:tc>
      </w:tr>
      <w:tr>
        <w:trPr>
          <w:cantSplit/>
        </w:trPr>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 Piloto</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Uso real durante 6 semanas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 a 3 tiendas</w:t>
            </w:r>
          </w:p>
        </w:tc>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Adopción, exactitud del inventario, utilidad de las alertas y disposición a pagar</w:t>
            </w:r>
          </w:p>
        </w:tc>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Diseñado, pendiente de ejecución</w:t>
            </w:r>
          </w:p>
        </w:tc>
      </w:tr>
    </w:tbl>
    <w:p>
      <w:pPr>
        <w:spacing w:after="120"/>
      </w:pPr>
    </w:p>
    <w:p>
      <w:pPr>
        <w:keepNext/>
        <w:spacing w:after="100" w:before="200"/>
      </w:pPr>
      <w:r>
        <w:rPr>
          <w:rFonts w:ascii="Times New Roman" w:cs="Times New Roman" w:eastAsia="Times New Roman" w:hAnsi="Times New Roman"/>
          <w:b/>
          <w:bCs/>
          <w:sz w:val="24"/>
          <w:szCs w:val="24"/>
        </w:rPr>
        <w:t xml:space="preserve">Resultados clave de la encuesta (n =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Hallazgo</w:t>
            </w:r>
          </w:p>
        </w:tc>
        <w:tc>
          <w:tcPr>
            <w:tcW w:type="dxa" w:w="280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Resultado</w:t>
            </w:r>
          </w:p>
        </w:tc>
        <w:tc>
          <w:tcPr>
            <w:tcW w:type="dxa" w:w="374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Implicación para el negocio</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Método actual de gestión</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73 % registro manual en libreta o papel; 67 % nunca ha usado una herramienta digital</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Confirma la brecha de digitalización del segmento</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Principal dificultad</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Errores en los registros manuales (53 %); faltantes sin aviso (33 %); exceso de productos (33 %); caducidad (20 %)</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registro rápido y confiable es la base de todo el valor del producto</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Funcionalidades esenciales</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Registro automatizado de entradas y salidas (80 %); alertas de caducidad (53 %); alertas de stock, informes y códigos de barras (40 % cada una)</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StockPilot cubre 7 de 8 funcionalidades pedidas; el lector de códigos está implementado parcialmente</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Beneficios esperados</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Reducir pérdidas económicas (73 %); ahorrar tiempo (60 %); mayor precisión (47 %)</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mensaje comercial debe centrarse en pérdidas evitadas y tiempo ahorrado</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Barreras de adopción</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Falta de tiempo para aprender (80 %); costo (53 %); el 40 % se capacitaría solo si no es complejo</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facilidad de uso decide la adopción: se requiere un modo básico y una capacitación corta</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Dispositivos</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67 % usa celular; 20 % no usa ningún dispositivo</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 experiencia móvil es la vía de entrada; el 20 % sin dispositivos queda fuera del mercado inicial</w:t>
            </w:r>
          </w:p>
        </w:tc>
      </w:tr>
    </w:tbl>
    <w:p>
      <w:pPr>
        <w:spacing w:after="120"/>
      </w:pPr>
    </w:p>
    <w:p>
      <w:pPr>
        <w:spacing w:after="120" w:line="300"/>
        <w:jc w:val="both"/>
      </w:pPr>
      <w:r>
        <w:rPr>
          <w:rFonts w:ascii="Times New Roman" w:cs="Times New Roman" w:eastAsia="Times New Roman" w:hAnsi="Times New Roman"/>
          <w:b/>
          <w:bCs/>
          <w:sz w:val="24"/>
          <w:szCs w:val="24"/>
        </w:rPr>
        <w:t xml:space="preserve">Limitaciones:</w:t>
      </w:r>
      <w:r>
        <w:rPr>
          <w:rFonts w:ascii="Times New Roman" w:cs="Times New Roman" w:eastAsia="Times New Roman" w:hAnsi="Times New Roman"/>
          <w:sz w:val="24"/>
          <w:szCs w:val="24"/>
        </w:rPr>
        <w:t xml:space="preserve"> la muestra es pequeña y por conveniencia, e incluye algunos comercios que no son de víveres. La encuesta </w:t>
      </w:r>
      <w:r>
        <w:rPr>
          <w:rFonts w:ascii="Times New Roman" w:cs="Times New Roman" w:eastAsia="Times New Roman" w:hAnsi="Times New Roman"/>
          <w:b/>
          <w:bCs/>
          <w:sz w:val="24"/>
          <w:szCs w:val="24"/>
        </w:rPr>
        <w:t xml:space="preserve">no midió la disposición a pagar ni el interés en funciones de inteligencia artificial</w:t>
      </w:r>
      <w:r>
        <w:rPr>
          <w:rFonts w:ascii="Times New Roman" w:cs="Times New Roman" w:eastAsia="Times New Roman" w:hAnsi="Times New Roman"/>
          <w:sz w:val="24"/>
          <w:szCs w:val="24"/>
        </w:rPr>
        <w:t xml:space="preserve">. El precio de $39.900 se fija por referencia a la competencia (Treinta cobra lo mismo en su plan Esencial) y se validará al cierre del piloto.</w:t>
      </w: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el párrafo completo de la sección 5.5.</w:t>
      </w:r>
    </w:p>
    <w:p>
      <w:pPr>
        <w:keepNext/>
        <w:spacing w:after="100" w:before="200"/>
      </w:pPr>
      <w:r>
        <w:rPr>
          <w:rFonts w:ascii="Times New Roman" w:cs="Times New Roman" w:eastAsia="Times New Roman" w:hAnsi="Times New Roman"/>
          <w:b/>
          <w:bCs/>
          <w:sz w:val="24"/>
          <w:szCs w:val="24"/>
        </w:rPr>
        <w:t xml:space="preserve">5.5. Motivaciones de los Clientes para Adquirir el Producto</w:t>
      </w:r>
    </w:p>
    <w:p>
      <w:pPr>
        <w:spacing w:after="120" w:line="300"/>
        <w:jc w:val="both"/>
      </w:pPr>
      <w:r>
        <w:rPr>
          <w:rFonts w:ascii="Times New Roman" w:cs="Times New Roman" w:eastAsia="Times New Roman" w:hAnsi="Times New Roman"/>
          <w:sz w:val="24"/>
          <w:szCs w:val="24"/>
        </w:rPr>
        <w:t xml:space="preserve">La encuesta a 15 tenderos permite identificar las motivaciones que llevarían a un negocio a adoptar StockPilot. La primera es </w:t>
      </w:r>
      <w:r>
        <w:rPr>
          <w:rFonts w:ascii="Times New Roman" w:cs="Times New Roman" w:eastAsia="Times New Roman" w:hAnsi="Times New Roman"/>
          <w:b/>
          <w:bCs/>
          <w:sz w:val="24"/>
          <w:szCs w:val="24"/>
        </w:rPr>
        <w:t xml:space="preserve">económica</w:t>
      </w:r>
      <w:r>
        <w:rPr>
          <w:rFonts w:ascii="Times New Roman" w:cs="Times New Roman" w:eastAsia="Times New Roman" w:hAnsi="Times New Roman"/>
          <w:sz w:val="24"/>
          <w:szCs w:val="24"/>
        </w:rPr>
        <w:t xml:space="preserve">: el 73 % espera reducir pérdidas económicas y el 53 % asocia sus problemas de inventario directamente a pérdidas. Según fuentes secundarias, las tiendas pierden en promedio el 4,76 % de sus ventas anuales en mermas y vencimientos (BID, 2021), unos $380.000 mensuales para una tienda que vende $8.000.000; frente a ese valor, una suscripción de $39.900 representa una inversión pequeña. Esta relación es una estimación basada en fuentes secundarias y se medirá en el piloto.</w:t>
      </w:r>
    </w:p>
    <w:p>
      <w:pPr>
        <w:spacing w:after="120" w:line="300"/>
        <w:jc w:val="both"/>
      </w:pPr>
      <w:r>
        <w:rPr>
          <w:rFonts w:ascii="Times New Roman" w:cs="Times New Roman" w:eastAsia="Times New Roman" w:hAnsi="Times New Roman"/>
          <w:sz w:val="24"/>
          <w:szCs w:val="24"/>
        </w:rPr>
        <w:t xml:space="preserve">La segunda motivación es </w:t>
      </w:r>
      <w:r>
        <w:rPr>
          <w:rFonts w:ascii="Times New Roman" w:cs="Times New Roman" w:eastAsia="Times New Roman" w:hAnsi="Times New Roman"/>
          <w:b/>
          <w:bCs/>
          <w:sz w:val="24"/>
          <w:szCs w:val="24"/>
        </w:rPr>
        <w:t xml:space="preserve">operativa</w:t>
      </w:r>
      <w:r>
        <w:rPr>
          <w:rFonts w:ascii="Times New Roman" w:cs="Times New Roman" w:eastAsia="Times New Roman" w:hAnsi="Times New Roman"/>
          <w:sz w:val="24"/>
          <w:szCs w:val="24"/>
        </w:rPr>
        <w:t xml:space="preserve">: el 60 % espera ahorrar tiempo en la gestión manual y el 47 % busca mayor precisión en los registros, lo que coincide con la dificultad más reportada (errores de registro, 53 %). La tercera es </w:t>
      </w:r>
      <w:r>
        <w:rPr>
          <w:rFonts w:ascii="Times New Roman" w:cs="Times New Roman" w:eastAsia="Times New Roman" w:hAnsi="Times New Roman"/>
          <w:b/>
          <w:bCs/>
          <w:sz w:val="24"/>
          <w:szCs w:val="24"/>
        </w:rPr>
        <w:t xml:space="preserve">competitiva</w:t>
      </w:r>
      <w:r>
        <w:rPr>
          <w:rFonts w:ascii="Times New Roman" w:cs="Times New Roman" w:eastAsia="Times New Roman" w:hAnsi="Times New Roman"/>
          <w:sz w:val="24"/>
          <w:szCs w:val="24"/>
        </w:rPr>
        <w:t xml:space="preserve">: evitar faltantes que alejan a los clientes hacia las cadenas (el 42 % de los compradores abandona la compra cuando falta un producto básico, DANE, 2022). La cuarta es de </w:t>
      </w:r>
      <w:r>
        <w:rPr>
          <w:rFonts w:ascii="Times New Roman" w:cs="Times New Roman" w:eastAsia="Times New Roman" w:hAnsi="Times New Roman"/>
          <w:b/>
          <w:bCs/>
          <w:sz w:val="24"/>
          <w:szCs w:val="24"/>
        </w:rPr>
        <w:t xml:space="preserve">servicio</w:t>
      </w:r>
      <w:r>
        <w:rPr>
          <w:rFonts w:ascii="Times New Roman" w:cs="Times New Roman" w:eastAsia="Times New Roman" w:hAnsi="Times New Roman"/>
          <w:sz w:val="24"/>
          <w:szCs w:val="24"/>
        </w:rPr>
        <w:t xml:space="preserve">: el 20 % espera atender mejor a sus clientes.</w:t>
      </w:r>
    </w:p>
    <w:p>
      <w:pPr>
        <w:spacing w:after="120" w:line="300"/>
        <w:jc w:val="both"/>
      </w:pPr>
      <w:r>
        <w:rPr>
          <w:rFonts w:ascii="Times New Roman" w:cs="Times New Roman" w:eastAsia="Times New Roman" w:hAnsi="Times New Roman"/>
          <w:sz w:val="24"/>
          <w:szCs w:val="24"/>
        </w:rPr>
        <w:t xml:space="preserve">La inteligencia artificial predictiva no fue una necesidad expresada por los tenderos, sino una </w:t>
      </w:r>
      <w:r>
        <w:rPr>
          <w:rFonts w:ascii="Times New Roman" w:cs="Times New Roman" w:eastAsia="Times New Roman" w:hAnsi="Times New Roman"/>
          <w:b/>
          <w:bCs/>
          <w:sz w:val="24"/>
          <w:szCs w:val="24"/>
        </w:rPr>
        <w:t xml:space="preserve">decisión estratégica del equipo</w:t>
      </w:r>
      <w:r>
        <w:rPr>
          <w:rFonts w:ascii="Times New Roman" w:cs="Times New Roman" w:eastAsia="Times New Roman" w:hAnsi="Times New Roman"/>
          <w:sz w:val="24"/>
          <w:szCs w:val="24"/>
        </w:rPr>
        <w:t xml:space="preserve"> para diferenciar el producto y automatizar la mayor parte de los procesos manuales. Por eso se comunica por su resultado ("StockPilot le dice qué pedir y cuánto") y no por la tecnología, y su valor percibido se medirá en el piloto.</w:t>
      </w: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la tabla 4.1 reemplace las filas indicadas. Las demás filas se mantienen. Agregue la nota al pie debajo de la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2059"/>
        <w:gridCol w:w="1685"/>
        <w:gridCol w:w="1685"/>
      </w:tblGrid>
      <w:tr>
        <w:trPr>
          <w:tblHeader/>
        </w:trPr>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Criterio</w:t>
            </w:r>
          </w:p>
        </w:tc>
        <w:tc>
          <w:tcPr>
            <w:tcW w:type="dxa" w:w="1872"/>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StockPilot</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Treinta</w:t>
            </w:r>
          </w:p>
        </w:tc>
        <w:tc>
          <w:tcPr>
            <w:tcW w:type="dxa" w:w="168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Alegra</w:t>
            </w:r>
          </w:p>
        </w:tc>
        <w:tc>
          <w:tcPr>
            <w:tcW w:type="dxa" w:w="168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Siigo</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Precio mensual</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$39.900 (plan base)</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$39.900 (Esencial, app)</w:t>
            </w:r>
          </w:p>
          <w:p>
            <w:pPr>
              <w:spacing w:after="30" w:line="250"/>
              <w:jc w:val="left"/>
            </w:pPr>
            <w:r>
              <w:rPr>
                <w:rFonts w:ascii="Times New Roman" w:cs="Times New Roman" w:eastAsia="Times New Roman" w:hAnsi="Times New Roman"/>
                <w:b w:val="false"/>
                <w:bCs w:val="false"/>
                <w:sz w:val="19"/>
                <w:szCs w:val="19"/>
              </w:rPr>
              <w:t xml:space="preserve">$79.900 (Pro, app + web)</w:t>
            </w:r>
          </w:p>
          <w:p>
            <w:pPr>
              <w:spacing w:after="30" w:line="250"/>
              <w:jc w:val="left"/>
            </w:pPr>
            <w:r>
              <w:rPr>
                <w:rFonts w:ascii="Times New Roman" w:cs="Times New Roman" w:eastAsia="Times New Roman" w:hAnsi="Times New Roman"/>
                <w:b w:val="false"/>
                <w:bCs w:val="false"/>
                <w:sz w:val="19"/>
                <w:szCs w:val="19"/>
              </w:rPr>
              <w:t xml:space="preserve">25 % de descuento en pago anual</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$49.000 - $89.000</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$55.000 - $99.000</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Predicción de demanda</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Sí (motor matemático + IA)</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encontrado en su oferta pública</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Alertas de vencimiento</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Sí</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 encontrado en su oferta pública</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Interfaz para tenderos</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Diseñada para no técnicos (por validar en prueba de usabilidad)</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Media</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Baja (requiere contador)</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Baja (requiere contador)</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Curva de aprendizaje</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Objetivo: baja (por validar)</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Media</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Alta</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Alta</w:t>
            </w:r>
          </w:p>
        </w:tc>
      </w:tr>
    </w:tbl>
    <w:p>
      <w:pPr>
        <w:spacing w:after="120"/>
      </w:pPr>
    </w:p>
    <w:p>
      <w:pPr>
        <w:spacing w:after="120" w:line="300"/>
        <w:jc w:val="both"/>
      </w:pPr>
      <w:r>
        <w:rPr>
          <w:rFonts w:ascii="Times New Roman" w:cs="Times New Roman" w:eastAsia="Times New Roman" w:hAnsi="Times New Roman"/>
          <w:i/>
          <w:iCs/>
          <w:sz w:val="24"/>
          <w:szCs w:val="24"/>
        </w:rPr>
        <w:t xml:space="preserve">Nota:</w:t>
      </w:r>
      <w:r>
        <w:rPr>
          <w:rFonts w:ascii="Times New Roman" w:cs="Times New Roman" w:eastAsia="Times New Roman" w:hAnsi="Times New Roman"/>
          <w:sz w:val="24"/>
          <w:szCs w:val="24"/>
        </w:rPr>
        <w:t xml:space="preserve"> precios y funciones de Treinta consultados en treinta.co/planes-y-precios en septiembre de 2026. "No encontrado en su oferta pública" indica que la función no aparece en la información publicada por el competidor. [Verificar y citar los precios vigentes de Alegra y Siigo.]</w:t>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la sección 4.3 agregue este bloque al final (después de "Oportunidades de StockPilot").</w:t>
      </w:r>
    </w:p>
    <w:p>
      <w:pPr>
        <w:keepNext/>
        <w:spacing w:after="100" w:before="200"/>
      </w:pPr>
      <w:r>
        <w:rPr>
          <w:rFonts w:ascii="Times New Roman" w:cs="Times New Roman" w:eastAsia="Times New Roman" w:hAnsi="Times New Roman"/>
          <w:b/>
          <w:bCs/>
          <w:sz w:val="24"/>
          <w:szCs w:val="24"/>
        </w:rPr>
        <w:t xml:space="preserve">Amenazas para StockPilot: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Competidores con capital (Treinta, con más de US$65M de inversión) pueden incorporar predicción y alertas de vencimiento en poco tiempo.</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StockPilot cuesta lo mismo que el plan básico de Treinta, por lo que el precio no es una ventaja diferencial; la diferencia debe estar en las funciones.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Baja disposición del segmento a adoptar herramientas nuevas: el 80 % de los tenderos encuestados dice no tener tiempo para aprender.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Dependencia de proveedores externos (OpenAI, Render, Neon) en precio y disponibilidad.</w:t>
      </w: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la tabla 6.1 reemplace las filas "Frontend (PWA)" y "Pruebas unitarias". Reemplace la tabla 6.2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370"/>
        <w:gridCol w:w="1498"/>
        <w:gridCol w:w="2620"/>
      </w:tblGrid>
      <w:tr>
        <w:trPr>
          <w:tblHeader/>
        </w:trPr>
        <w:tc>
          <w:tcPr>
            <w:tcW w:type="dxa" w:w="1872"/>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Área</w:t>
            </w:r>
          </w:p>
        </w:tc>
        <w:tc>
          <w:tcPr>
            <w:tcW w:type="dxa" w:w="337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Avance</w:t>
            </w:r>
          </w:p>
        </w:tc>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Estado</w:t>
            </w:r>
          </w:p>
        </w:tc>
        <w:tc>
          <w:tcPr>
            <w:tcW w:type="dxa" w:w="262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Evidencia</w:t>
            </w:r>
          </w:p>
        </w:tc>
      </w:tr>
      <w:tr>
        <w:trPr>
          <w:cantSplit/>
        </w:trPr>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Frontend</w:t>
            </w:r>
          </w:p>
        </w:tc>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100 % desarrollado con React 19 + Vite + TailwindCSS; interfaz responsive para celular y computador. La versión instalable (PWA) está planificada.</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Completado</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Repositorio GitHub</w:t>
            </w:r>
          </w:p>
        </w:tc>
      </w:tr>
      <w:tr>
        <w:trPr>
          <w:cantSplit/>
        </w:trPr>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Pruebas unitarias</w:t>
            </w:r>
          </w:p>
        </w:tc>
        <w:tc>
          <w:tcPr>
            <w:tcW w:type="dxa" w:w="337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149 pruebas automatizadas en 8 archivos (25-sep-2026) sobre la lógica de negocio crítica: validación de entradas, productos, métricas de la IA, motor de reposición, alertas, autorización y Consejero</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Completado</w:t>
            </w:r>
          </w:p>
        </w:tc>
        <w:tc>
          <w:tcPr>
            <w:tcW w:type="dxa" w:w="2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Reporte automático evidencia_pruebas.json (regenerado con npm run test:evidence)</w:t>
            </w:r>
          </w:p>
        </w:tc>
      </w:tr>
    </w:tbl>
    <w:p>
      <w:pPr>
        <w:spacing w:after="120"/>
      </w:pPr>
    </w:p>
    <w:p>
      <w:pPr>
        <w:keepNext/>
        <w:spacing w:after="100" w:before="200"/>
      </w:pPr>
      <w:r>
        <w:rPr>
          <w:rFonts w:ascii="Times New Roman" w:cs="Times New Roman" w:eastAsia="Times New Roman" w:hAnsi="Times New Roman"/>
          <w:b/>
          <w:bCs/>
          <w:sz w:val="24"/>
          <w:szCs w:val="24"/>
        </w:rPr>
        <w:t xml:space="preserve">6.2. Aspecto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5429"/>
      </w:tblGrid>
      <w:tr>
        <w:trPr>
          <w:tblHeader/>
        </w:trPr>
        <w:tc>
          <w:tcPr>
            <w:tcW w:type="dxa" w:w="224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Área</w:t>
            </w:r>
          </w:p>
        </w:tc>
        <w:tc>
          <w:tcPr>
            <w:tcW w:type="dxa" w:w="168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Avance</w:t>
            </w:r>
          </w:p>
        </w:tc>
        <w:tc>
          <w:tcPr>
            <w:tcW w:type="dxa" w:w="542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Detalle</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Validación de mercado</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Parcial</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Encuesta a 15 negocios (marzo de 2025). Prueba de usabilidad y piloto diseñados, pendientes de ejecución.</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Ventas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Sin ventas a la fecha</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producto aún no se ha comercializado; la primera captación será la convocatoria de prueba gratuita de 15 días.</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Estrategia de precios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Definida</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Plan Base: $39.900/mes por tienda, igual al plan Esencial de Treinta.</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Canales de distribución</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Identificados</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Convocatoria digital (grupos de comerciantes en redes sociales y WhatsApp, landing page), contacto directo con los negocios encuestados y alianzas con gremios.</w:t>
            </w:r>
          </w:p>
        </w:tc>
      </w:tr>
    </w:tbl>
    <w:p>
      <w:pPr>
        <w:spacing w:after="120"/>
      </w:pP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la tabla 7.1 reemplace la fila "Características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Ítem</w:t>
            </w:r>
          </w:p>
        </w:tc>
        <w:tc>
          <w:tcPr>
            <w:tcW w:type="dxa" w:w="711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Características técnicas</w:t>
            </w:r>
          </w:p>
        </w:tc>
        <w:tc>
          <w:tcPr>
            <w:tcW w:type="dxa" w:w="71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 Acceso por navegador web (Chrome, Edge, Firefox)</w:t>
            </w:r>
          </w:p>
          <w:p>
            <w:pPr>
              <w:spacing w:after="30" w:line="250"/>
              <w:jc w:val="left"/>
            </w:pPr>
            <w:r>
              <w:rPr>
                <w:rFonts w:ascii="Times New Roman" w:cs="Times New Roman" w:eastAsia="Times New Roman" w:hAnsi="Times New Roman"/>
                <w:b w:val="false"/>
                <w:bCs w:val="false"/>
                <w:sz w:val="19"/>
                <w:szCs w:val="19"/>
              </w:rPr>
              <w:t xml:space="preserve">- Interfaz responsive (celular, tableta y computador); versión instalable (PWA) planificada</w:t>
            </w:r>
          </w:p>
          <w:p>
            <w:pPr>
              <w:spacing w:after="30" w:line="250"/>
              <w:jc w:val="left"/>
            </w:pPr>
            <w:r>
              <w:rPr>
                <w:rFonts w:ascii="Times New Roman" w:cs="Times New Roman" w:eastAsia="Times New Roman" w:hAnsi="Times New Roman"/>
                <w:b w:val="false"/>
                <w:bCs w:val="false"/>
                <w:sz w:val="19"/>
                <w:szCs w:val="19"/>
              </w:rPr>
              <w:t xml:space="preserve">- Autenticación con usuario y contraseña (bcrypt) y sesiones en el servidor</w:t>
            </w:r>
          </w:p>
          <w:p>
            <w:pPr>
              <w:spacing w:after="30" w:line="250"/>
              <w:jc w:val="left"/>
            </w:pPr>
            <w:r>
              <w:rPr>
                <w:rFonts w:ascii="Times New Roman" w:cs="Times New Roman" w:eastAsia="Times New Roman" w:hAnsi="Times New Roman"/>
                <w:b w:val="false"/>
                <w:bCs w:val="false"/>
                <w:sz w:val="19"/>
                <w:szCs w:val="19"/>
              </w:rPr>
              <w:t xml:space="preserve">- Roles: Administrador y Tendero</w:t>
            </w:r>
          </w:p>
          <w:p>
            <w:pPr>
              <w:spacing w:after="30" w:line="250"/>
              <w:jc w:val="left"/>
            </w:pPr>
            <w:r>
              <w:rPr>
                <w:rFonts w:ascii="Times New Roman" w:cs="Times New Roman" w:eastAsia="Times New Roman" w:hAnsi="Times New Roman"/>
                <w:b w:val="false"/>
                <w:bCs w:val="false"/>
                <w:sz w:val="19"/>
                <w:szCs w:val="19"/>
              </w:rPr>
              <w:t xml:space="preserve">- PostgreSQL en la nube (Neon)</w:t>
            </w:r>
          </w:p>
          <w:p>
            <w:pPr>
              <w:spacing w:after="30" w:line="250"/>
              <w:jc w:val="left"/>
            </w:pPr>
            <w:r>
              <w:rPr>
                <w:rFonts w:ascii="Times New Roman" w:cs="Times New Roman" w:eastAsia="Times New Roman" w:hAnsi="Times New Roman"/>
                <w:b w:val="false"/>
                <w:bCs w:val="false"/>
                <w:sz w:val="19"/>
                <w:szCs w:val="19"/>
              </w:rPr>
              <w:t xml:space="preserve">- Motor de IA: GPT-4o-mini con límites por clase ABC y caché</w:t>
            </w:r>
          </w:p>
          <w:p>
            <w:pPr>
              <w:spacing w:after="30" w:line="250"/>
              <w:jc w:val="left"/>
            </w:pPr>
            <w:r>
              <w:rPr>
                <w:rFonts w:ascii="Times New Roman" w:cs="Times New Roman" w:eastAsia="Times New Roman" w:hAnsi="Times New Roman"/>
                <w:b w:val="false"/>
                <w:bCs w:val="false"/>
                <w:sz w:val="19"/>
                <w:szCs w:val="19"/>
              </w:rPr>
              <w:t xml:space="preserve">- Exportación a Excel y PDF</w:t>
            </w:r>
          </w:p>
          <w:p>
            <w:pPr>
              <w:spacing w:after="30" w:line="250"/>
              <w:jc w:val="left"/>
            </w:pPr>
            <w:r>
              <w:rPr>
                <w:rFonts w:ascii="Times New Roman" w:cs="Times New Roman" w:eastAsia="Times New Roman" w:hAnsi="Times New Roman"/>
                <w:b w:val="false"/>
                <w:bCs w:val="false"/>
                <w:sz w:val="19"/>
                <w:szCs w:val="19"/>
              </w:rPr>
              <w:t xml:space="preserve">- Disponibilidad objetivo: 99,5 %</w:t>
            </w:r>
          </w:p>
        </w:tc>
      </w:tr>
    </w:tbl>
    <w:p>
      <w:pPr>
        <w:spacing w:after="120"/>
      </w:pP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 sección 8.2 completa (tabla, supuestos y justificación).</w:t>
      </w:r>
    </w:p>
    <w:p>
      <w:pPr>
        <w:keepNext/>
        <w:spacing w:after="100" w:before="200"/>
      </w:pPr>
      <w:r>
        <w:rPr>
          <w:rFonts w:ascii="Times New Roman" w:cs="Times New Roman" w:eastAsia="Times New Roman" w:hAnsi="Times New Roman"/>
          <w:b/>
          <w:bCs/>
          <w:sz w:val="24"/>
          <w:szCs w:val="24"/>
        </w:rPr>
        <w:t xml:space="preserve">8.2. Proyección de Cantidades y Precios de Venta (Mensual,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498"/>
        <w:gridCol w:w="1498"/>
        <w:gridCol w:w="1498"/>
        <w:gridCol w:w="2059"/>
        <w:gridCol w:w="2058"/>
      </w:tblGrid>
      <w:tr>
        <w:trPr>
          <w:tblHeader/>
        </w:trPr>
        <w:tc>
          <w:tcPr>
            <w:tcW w:type="dxa" w:w="74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Mes</w:t>
            </w:r>
          </w:p>
        </w:tc>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Clientes nuevos</w:t>
            </w:r>
          </w:p>
        </w:tc>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Clientes retirados</w:t>
            </w:r>
          </w:p>
        </w:tc>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Clientes activos</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Ingreso mensual</w:t>
            </w:r>
          </w:p>
        </w:tc>
        <w:tc>
          <w:tcPr>
            <w:tcW w:type="dxa" w:w="205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Ingreso acumulado</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0</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$398.840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$398.840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0</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$598.500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$997.340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0</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$997.340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$1.994.681</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$1.396.660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$3.391.340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45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$1.795.500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$5.186.840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6</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$2.194.340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$7.381.181</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7</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$2.593.660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$9.974.840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80</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$3.192.160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$13.167.000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90</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$3.591.000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$16.758.000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$3.989.840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$20.747.840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$4.389.160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$25.137.000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120</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$4.788.000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$29.925.000</w:t>
            </w:r>
          </w:p>
        </w:tc>
      </w:tr>
      <w:tr>
        <w:trPr>
          <w:cantSplit/>
        </w:trPr>
        <w:tc>
          <w:tcPr>
            <w:tcW w:type="dxa" w:w="7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Total</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139</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19</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120</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$29.925.000</w:t>
            </w:r>
          </w:p>
        </w:tc>
        <w:tc>
          <w:tcPr>
            <w:tcW w:type="dxa" w:w="205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r>
    </w:tbl>
    <w:p>
      <w:pPr>
        <w:spacing w:after="120"/>
      </w:pPr>
    </w:p>
    <w:p>
      <w:pPr>
        <w:keepNext/>
        <w:spacing w:after="100" w:before="200"/>
      </w:pPr>
      <w:r>
        <w:rPr>
          <w:rFonts w:ascii="Times New Roman" w:cs="Times New Roman" w:eastAsia="Times New Roman" w:hAnsi="Times New Roman"/>
          <w:b/>
          <w:bCs/>
          <w:sz w:val="24"/>
          <w:szCs w:val="24"/>
        </w:rPr>
        <w:t xml:space="preserve">Supuestos del modelo:</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Crecimiento gradual:</w:t>
      </w:r>
      <w:r>
        <w:rPr>
          <w:rFonts w:ascii="Times New Roman" w:cs="Times New Roman" w:eastAsia="Times New Roman" w:hAnsi="Times New Roman"/>
          <w:sz w:val="24"/>
          <w:szCs w:val="24"/>
        </w:rPr>
        <w:t xml:space="preserve"> 10 clientes activos en el mes 1 hasta 120 en el mes 12.</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Precio:</w:t>
      </w:r>
      <w:r>
        <w:rPr>
          <w:rFonts w:ascii="Times New Roman" w:cs="Times New Roman" w:eastAsia="Times New Roman" w:hAnsi="Times New Roman"/>
          <w:sz w:val="24"/>
          <w:szCs w:val="24"/>
        </w:rPr>
        <w:t xml:space="preserve"> $39.900/mes sin IVA (ver 9.1); se ajusta 5 % al inicio de cada año.</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Abandono (churn):</w:t>
      </w:r>
      <w:r>
        <w:rPr>
          <w:rFonts w:ascii="Times New Roman" w:cs="Times New Roman" w:eastAsia="Times New Roman" w:hAnsi="Times New Roman"/>
          <w:sz w:val="24"/>
          <w:szCs w:val="24"/>
        </w:rPr>
        <w:t xml:space="preserve"> 3 % mensual de los clientes activos. Por eso, para cerrar el año con 120 clientes activos hay que conseguir 139 clientes nuevos.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Forma de pago:</w:t>
      </w:r>
      <w:r>
        <w:rPr>
          <w:rFonts w:ascii="Times New Roman" w:cs="Times New Roman" w:eastAsia="Times New Roman" w:hAnsi="Times New Roman"/>
          <w:sz w:val="24"/>
          <w:szCs w:val="24"/>
        </w:rPr>
        <w:t xml:space="preserve"> contado, mensual anticipado.</w:t>
      </w:r>
    </w:p>
    <w:p>
      <w:pPr>
        <w:keepNext/>
        <w:spacing w:after="100" w:before="200"/>
      </w:pPr>
      <w:r>
        <w:rPr>
          <w:rFonts w:ascii="Times New Roman" w:cs="Times New Roman" w:eastAsia="Times New Roman" w:hAnsi="Times New Roman"/>
          <w:b/>
          <w:bCs/>
          <w:sz w:val="24"/>
          <w:szCs w:val="24"/>
        </w:rPr>
        <w:t xml:space="preserve">Justificación de la proyección: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Bogotá cuenta con 40.000 a 50.000 tiendas de barrio (DANE, 2022). Llegar a 120 tiendas en el primer año representa menos del 0,3 % de ese mercado.</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El crecimiento es escalonado: captación inicial con prueba gratuita (meses 1-3), consolidación (meses 4-6) y maduración (meses 7-12).</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El abandono del 3 % es un supuesto intermedio que se medirá desde el primer mes de operación.</w:t>
      </w: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las tablas de las secciones 8.3.1, 8.3.2 y 8.3.3 y la línea del presupuesto total.</w:t>
      </w:r>
    </w:p>
    <w:p>
      <w:pPr>
        <w:keepNext/>
        <w:spacing w:after="100" w:before="200"/>
      </w:pPr>
      <w:r>
        <w:rPr>
          <w:rFonts w:ascii="Times New Roman" w:cs="Times New Roman" w:eastAsia="Times New Roman" w:hAnsi="Times New Roman"/>
          <w:b/>
          <w:bCs/>
          <w:sz w:val="24"/>
          <w:szCs w:val="24"/>
        </w:rPr>
        <w:t xml:space="preserve">8.3.1. Estrategia de Promoción: "El Tendero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059"/>
        <w:gridCol w:w="1310"/>
        <w:gridCol w:w="1310"/>
        <w:gridCol w:w="1686"/>
      </w:tblGrid>
      <w:tr>
        <w:trPr>
          <w:tblHeader/>
        </w:trPr>
        <w:tc>
          <w:tcPr>
            <w:tcW w:type="dxa" w:w="299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Actividad</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Recursos</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Mes</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Costo</w:t>
            </w:r>
          </w:p>
        </w:tc>
        <w:tc>
          <w:tcPr>
            <w:tcW w:type="dxa" w:w="168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Responsable</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Campaña en redes sociales (Instagram, Facebook)</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Contenido gráfico, anuncios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1-3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 (rol comercial)</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Convocatoria de prueba gratuita en grupos de comerciantes y WhatsApp</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Pauta digital, incentivos por activación</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1-12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$3.228.500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 (rol comercial)</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Alianzas con gremios de tenderos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Networking, material</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2-6</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CEO</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Programa de referidos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Sistema de incentivos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CEO</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Participación en ferias (4 eventos)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Stand, material, viáticos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3, 6, 9, 12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 (rol comercial)</w:t>
            </w:r>
          </w:p>
        </w:tc>
      </w:tr>
    </w:tbl>
    <w:p>
      <w:pPr>
        <w:spacing w:after="120"/>
      </w:pPr>
    </w:p>
    <w:p>
      <w:pPr>
        <w:spacing w:after="120" w:line="300"/>
        <w:jc w:val="both"/>
      </w:pPr>
      <w:r>
        <w:rPr>
          <w:rFonts w:ascii="Times New Roman" w:cs="Times New Roman" w:eastAsia="Times New Roman" w:hAnsi="Times New Roman"/>
          <w:b/>
          <w:bCs/>
          <w:sz w:val="24"/>
          <w:szCs w:val="24"/>
        </w:rPr>
        <w:t xml:space="preserve">Costo total promoción:</w:t>
      </w:r>
      <w:r>
        <w:rPr>
          <w:rFonts w:ascii="Times New Roman" w:cs="Times New Roman" w:eastAsia="Times New Roman" w:hAnsi="Times New Roman"/>
          <w:sz w:val="24"/>
          <w:szCs w:val="24"/>
        </w:rPr>
        <w:t xml:space="preserve"> $6.228.500</w:t>
      </w:r>
    </w:p>
    <w:p>
      <w:pPr>
        <w:keepNext/>
        <w:spacing w:after="100" w:before="200"/>
      </w:pPr>
      <w:r>
        <w:rPr>
          <w:rFonts w:ascii="Times New Roman" w:cs="Times New Roman" w:eastAsia="Times New Roman" w:hAnsi="Times New Roman"/>
          <w:b/>
          <w:bCs/>
          <w:sz w:val="24"/>
          <w:szCs w:val="24"/>
        </w:rPr>
        <w:t xml:space="preserve">8.3.2. Estrategia de Comunicación: "Historias de Éxito Tenderas"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059"/>
        <w:gridCol w:w="1310"/>
        <w:gridCol w:w="1310"/>
        <w:gridCol w:w="1686"/>
      </w:tblGrid>
      <w:tr>
        <w:trPr>
          <w:tblHeader/>
        </w:trPr>
        <w:tc>
          <w:tcPr>
            <w:tcW w:type="dxa" w:w="299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Actividad</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Recursos</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Mes</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Costo</w:t>
            </w:r>
          </w:p>
        </w:tc>
        <w:tc>
          <w:tcPr>
            <w:tcW w:type="dxa" w:w="168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Responsable</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Casos de éxito en redes (con autorización de los tenderos del piloto)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Contenido</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4-12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 (rol comercial)</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Testimonios en video (3 al año)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Grabación, edición</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6, 9, 12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CEO</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Boletín mensual por correo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Plataforma de correo</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2-12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CEO</w:t>
            </w:r>
          </w:p>
        </w:tc>
      </w:tr>
    </w:tbl>
    <w:p>
      <w:pPr>
        <w:spacing w:after="120"/>
      </w:pPr>
    </w:p>
    <w:p>
      <w:pPr>
        <w:spacing w:after="120" w:line="300"/>
        <w:jc w:val="both"/>
      </w:pPr>
      <w:r>
        <w:rPr>
          <w:rFonts w:ascii="Times New Roman" w:cs="Times New Roman" w:eastAsia="Times New Roman" w:hAnsi="Times New Roman"/>
          <w:b/>
          <w:bCs/>
          <w:sz w:val="24"/>
          <w:szCs w:val="24"/>
        </w:rPr>
        <w:t xml:space="preserve">Costo total comunicación:</w:t>
      </w:r>
      <w:r>
        <w:rPr>
          <w:rFonts w:ascii="Times New Roman" w:cs="Times New Roman" w:eastAsia="Times New Roman" w:hAnsi="Times New Roman"/>
          <w:sz w:val="24"/>
          <w:szCs w:val="24"/>
        </w:rPr>
        <w:t xml:space="preserve"> $1.100.000</w:t>
      </w:r>
    </w:p>
    <w:p>
      <w:pPr>
        <w:keepNext/>
        <w:spacing w:after="100" w:before="200"/>
      </w:pPr>
      <w:r>
        <w:rPr>
          <w:rFonts w:ascii="Times New Roman" w:cs="Times New Roman" w:eastAsia="Times New Roman" w:hAnsi="Times New Roman"/>
          <w:b/>
          <w:bCs/>
          <w:sz w:val="24"/>
          <w:szCs w:val="24"/>
        </w:rPr>
        <w:t xml:space="preserve">8.3.3. Estrategia de Distribución: "Digitaliza tu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059"/>
        <w:gridCol w:w="1310"/>
        <w:gridCol w:w="1310"/>
        <w:gridCol w:w="1686"/>
      </w:tblGrid>
      <w:tr>
        <w:trPr>
          <w:tblHeader/>
        </w:trPr>
        <w:tc>
          <w:tcPr>
            <w:tcW w:type="dxa" w:w="299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Actividad</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Recursos</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Mes</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Costo</w:t>
            </w:r>
          </w:p>
        </w:tc>
        <w:tc>
          <w:tcPr>
            <w:tcW w:type="dxa" w:w="168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Responsable</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Canal WhatsApp Business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Automatización</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1</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 (rol comercial)</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Prospección en campo (Barrios Unidos, Usme, Santa Fe; luego Kennedy, Suba y Engativá)</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Transporte, material</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1-12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Fundadores</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Contacto directo con los negocios encuestados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Visitas y demostraciones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1-2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$1.000.000</w:t>
            </w:r>
          </w:p>
        </w:tc>
        <w:tc>
          <w:tcPr>
            <w:tcW w:type="dxa" w:w="168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Fundadores</w:t>
            </w:r>
          </w:p>
        </w:tc>
      </w:tr>
    </w:tbl>
    <w:p>
      <w:pPr>
        <w:spacing w:after="120"/>
      </w:pPr>
    </w:p>
    <w:p>
      <w:pPr>
        <w:spacing w:after="120" w:line="300"/>
        <w:jc w:val="both"/>
      </w:pPr>
      <w:r>
        <w:rPr>
          <w:rFonts w:ascii="Times New Roman" w:cs="Times New Roman" w:eastAsia="Times New Roman" w:hAnsi="Times New Roman"/>
          <w:b/>
          <w:bCs/>
          <w:sz w:val="24"/>
          <w:szCs w:val="24"/>
        </w:rPr>
        <w:t xml:space="preserve">Costo total distribución:</w:t>
      </w:r>
      <w:r>
        <w:rPr>
          <w:rFonts w:ascii="Times New Roman" w:cs="Times New Roman" w:eastAsia="Times New Roman" w:hAnsi="Times New Roman"/>
          <w:sz w:val="24"/>
          <w:szCs w:val="24"/>
        </w:rPr>
        <w:t xml:space="preserve"> $1.700.000</w:t>
      </w:r>
    </w:p>
    <w:p>
      <w:pPr>
        <w:spacing w:after="120" w:line="300"/>
        <w:jc w:val="both"/>
      </w:pPr>
      <w:r>
        <w:rPr>
          <w:rFonts w:ascii="Times New Roman" w:cs="Times New Roman" w:eastAsia="Times New Roman" w:hAnsi="Times New Roman"/>
          <w:b/>
          <w:bCs/>
          <w:sz w:val="24"/>
          <w:szCs w:val="24"/>
        </w:rPr>
        <w:t xml:space="preserve">Presupuesto total de marketing y ventas (Año 1):</w:t>
      </w:r>
      <w:r>
        <w:rPr>
          <w:rFonts w:ascii="Times New Roman" w:cs="Times New Roman" w:eastAsia="Times New Roman" w:hAnsi="Times New Roman"/>
          <w:sz w:val="24"/>
          <w:szCs w:val="24"/>
        </w:rPr>
        <w:t xml:space="preserve"> $9.028.500. La landing page se registra como inversión inicial (sección 17.5) y no se suma aquí.</w:t>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la tabla 9.1 reemplace las filas "Precio" y "Validación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Variable</w:t>
            </w:r>
          </w:p>
        </w:tc>
        <w:tc>
          <w:tcPr>
            <w:tcW w:type="dxa" w:w="692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Precio</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$39.900/mes. El servicio se presta en la nube, y la DIAN ha conceptuado que los servicios de computación en la nube están excluidos de IVA (art. 476, num. 24 del Estatuto Tributario). La exclusión se confirmará con el contador antes de facturar.</w:t>
            </w:r>
          </w:p>
        </w:tc>
      </w:tr>
      <w:tr>
        <w:trPr>
          <w:cantSplit/>
        </w:trPr>
        <w:tc>
          <w:tcPr>
            <w:tcW w:type="dxa" w:w="243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Validación de mercado</w:t>
            </w:r>
          </w:p>
        </w:tc>
        <w:tc>
          <w:tcPr>
            <w:tcW w:type="dxa" w:w="692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Encuesta a 15 negocios (marzo de 2025); prueba de usabilidad y piloto diseñados, pendientes de ejecución.</w:t>
            </w:r>
          </w:p>
        </w:tc>
      </w:tr>
    </w:tbl>
    <w:p>
      <w:pPr>
        <w:spacing w:after="120"/>
      </w:pP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los párrafos "Arquitectura", los puntos "Backend", "Frontend" y "Motor de IA" de 11.1, y la sección 11.2 completa.</w:t>
      </w:r>
    </w:p>
    <w:p>
      <w:pPr>
        <w:spacing w:after="120" w:line="300"/>
        <w:jc w:val="both"/>
      </w:pPr>
      <w:r>
        <w:rPr>
          <w:rFonts w:ascii="Times New Roman" w:cs="Times New Roman" w:eastAsia="Times New Roman" w:hAnsi="Times New Roman"/>
          <w:b/>
          <w:bCs/>
          <w:sz w:val="24"/>
          <w:szCs w:val="24"/>
        </w:rPr>
        <w:t xml:space="preserve">Arquitectura:</w:t>
      </w:r>
      <w:r>
        <w:rPr>
          <w:rFonts w:ascii="Times New Roman" w:cs="Times New Roman" w:eastAsia="Times New Roman" w:hAnsi="Times New Roman"/>
          <w:sz w:val="24"/>
          <w:szCs w:val="24"/>
        </w:rPr>
        <w:t xml:space="preserve"> monolito modular cliente-servidor con patrón MVC y Factory Method. El backend (API REST) y el frontend (SPA) se despliegan por separado, lo que permite escalarlos de forma independiente.</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Node.js con Express, middleware de seguridad (Helmet, CORS, limitación de peticiones) y autenticación con sesiones en el servidor y control de acceso por roles.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Single Page Application con React 19, Vite y TailwindCSS, responsive y optimizada para celular. La versión instalable (PWA) está planificada.</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Motor de IA:</w:t>
      </w:r>
      <w:r>
        <w:rPr>
          <w:rFonts w:ascii="Times New Roman" w:cs="Times New Roman" w:eastAsia="Times New Roman" w:hAnsi="Times New Roman"/>
          <w:sz w:val="24"/>
          <w:szCs w:val="24"/>
        </w:rPr>
        <w:t xml:space="preserve"> integración con la API de OpenAI (GPT-4o-mini), complementada con clasificación ABC y caché para reducir el consumo de tokens.</w:t>
      </w:r>
    </w:p>
    <w:p>
      <w:pPr>
        <w:keepNext/>
        <w:spacing w:after="100" w:before="200"/>
      </w:pPr>
      <w:r>
        <w:rPr>
          <w:rFonts w:ascii="Times New Roman" w:cs="Times New Roman" w:eastAsia="Times New Roman" w:hAnsi="Times New Roman"/>
          <w:b/>
          <w:bCs/>
          <w:sz w:val="24"/>
          <w:szCs w:val="24"/>
        </w:rPr>
        <w:t xml:space="preserve">11.2. SLA y Tiempos de Respuesta</w:t>
      </w:r>
    </w:p>
    <w:p>
      <w:pPr>
        <w:spacing w:after="120" w:line="300"/>
        <w:jc w:val="both"/>
      </w:pPr>
      <w:r>
        <w:rPr>
          <w:rFonts w:ascii="Times New Roman" w:cs="Times New Roman" w:eastAsia="Times New Roman" w:hAnsi="Times New Roman"/>
          <w:b/>
          <w:bCs/>
          <w:sz w:val="24"/>
          <w:szCs w:val="24"/>
        </w:rPr>
        <w:t xml:space="preserve">Rendimiento medido (prueba de carga con Autocannon, 10 segundos):</w:t>
      </w:r>
      <w:r>
        <w:rPr>
          <w:rFonts w:ascii="Times New Roman" w:cs="Times New Roman" w:eastAsia="Times New Roman" w:hAnsi="Times New Roman"/>
          <w:sz w:val="24"/>
          <w:szCs w:val="24"/>
        </w:rPr>
        <w:t xml:space="preserve"> con carga pico se atendieron 12,9 peticiones por segundo con latencia promedio de 747 ms y 0 % de errores; con carga moderada, 4,7 peticiones por segundo y 1.044 ms de promedio.</w:t>
      </w:r>
    </w:p>
    <w:p>
      <w:pPr>
        <w:spacing w:after="120" w:line="300"/>
        <w:jc w:val="both"/>
      </w:pPr>
      <w:r>
        <w:rPr>
          <w:rFonts w:ascii="Times New Roman" w:cs="Times New Roman" w:eastAsia="Times New Roman" w:hAnsi="Times New Roman"/>
          <w:b/>
          <w:bCs/>
          <w:sz w:val="24"/>
          <w:szCs w:val="24"/>
        </w:rPr>
        <w:t xml:space="preserve">Disponibilidad objetivo (SLA):</w:t>
      </w:r>
      <w:r>
        <w:rPr>
          <w:rFonts w:ascii="Times New Roman" w:cs="Times New Roman" w:eastAsia="Times New Roman" w:hAnsi="Times New Roman"/>
          <w:sz w:val="24"/>
          <w:szCs w:val="24"/>
        </w:rPr>
        <w:t xml:space="preserve"> 99,5 %.</w:t>
      </w:r>
    </w:p>
    <w:p>
      <w:pPr>
        <w:spacing w:after="120" w:line="300"/>
        <w:jc w:val="both"/>
      </w:pPr>
      <w:r>
        <w:rPr>
          <w:rFonts w:ascii="Times New Roman" w:cs="Times New Roman" w:eastAsia="Times New Roman" w:hAnsi="Times New Roman"/>
          <w:b/>
          <w:bCs/>
          <w:sz w:val="24"/>
          <w:szCs w:val="24"/>
        </w:rPr>
        <w:t xml:space="preserve">Capacidad validada:</w:t>
      </w:r>
      <w:r>
        <w:rPr>
          <w:rFonts w:ascii="Times New Roman" w:cs="Times New Roman" w:eastAsia="Times New Roman" w:hAnsi="Times New Roman"/>
          <w:sz w:val="24"/>
          <w:szCs w:val="24"/>
        </w:rPr>
        <w:t xml:space="preserve"> 12,9 peticiones por segundo en un solo servidor, frente a una demanda pico estimada de 2 a 4 peticiones por segundo con 120 tiendas.</w:t>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 justificación de 12.1 y la tabla y el total de 12.2. Después, inserte la sección nueva 12.3.1 al final de 12.3 (Condiciones Técnicas de Infraestructura), antes de 12.4.</w:t>
      </w:r>
    </w:p>
    <w:p>
      <w:pPr>
        <w:spacing w:after="120" w:line="300"/>
        <w:jc w:val="both"/>
      </w:pPr>
      <w:r>
        <w:rPr>
          <w:rFonts w:ascii="Times New Roman" w:cs="Times New Roman" w:eastAsia="Times New Roman" w:hAnsi="Times New Roman"/>
          <w:b/>
          <w:bCs/>
          <w:sz w:val="24"/>
          <w:szCs w:val="24"/>
        </w:rPr>
        <w:t xml:space="preserve">Justificación (12.1):</w:t>
      </w:r>
      <w:r>
        <w:rPr>
          <w:rFonts w:ascii="Times New Roman" w:cs="Times New Roman" w:eastAsia="Times New Roman" w:hAnsi="Times New Roman"/>
          <w:sz w:val="24"/>
          <w:szCs w:val="24"/>
        </w:rPr>
        <w:t xml:space="preserve"> al ser una plataforma nativa digital, la programación, el despliegue y el soporte se hacen de forma remota desde los domicilios de los fundadores durante los dos primeros años. A partir del año 3, cuando se vinculan colaboradores, se arrienda un puesto en un coworking ($500.000/mes, ajustado por inflación).</w:t>
      </w:r>
    </w:p>
    <w:p>
      <w:pPr>
        <w:keepNext/>
        <w:spacing w:after="100" w:before="200"/>
      </w:pPr>
      <w:r>
        <w:rPr>
          <w:rFonts w:ascii="Times New Roman" w:cs="Times New Roman" w:eastAsia="Times New Roman" w:hAnsi="Times New Roman"/>
          <w:b/>
          <w:bCs/>
          <w:sz w:val="24"/>
          <w:szCs w:val="24"/>
        </w:rPr>
        <w:t xml:space="preserve">12.2. Requerimientos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059"/>
        <w:gridCol w:w="936"/>
        <w:gridCol w:w="1310"/>
        <w:gridCol w:w="1310"/>
        <w:gridCol w:w="2247"/>
      </w:tblGrid>
      <w:tr>
        <w:trPr>
          <w:tblHeader/>
        </w:trPr>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Tipo de activo</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c>
          <w:tcPr>
            <w:tcW w:type="dxa" w:w="93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Cantidad</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Valor unitario</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Valor total</w:t>
            </w:r>
          </w:p>
        </w:tc>
        <w:tc>
          <w:tcPr>
            <w:tcW w:type="dxa" w:w="2247"/>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Observación</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Equipos de cómputo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Portátiles para desarrollo</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$0</w:t>
            </w:r>
          </w:p>
        </w:tc>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Aporte en especie (equipos de los fundadores que cumplen los requisitos de 12.3.1); su reposición se cubre con la reserva de la sección 17.3</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Muebles y enseres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Puestos de trabajo</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$0</w:t>
            </w:r>
          </w:p>
        </w:tc>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Aporte en especie (domicilios)</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Gastos preoperativos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Constitución de la SAS, registros, dominio</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$500.000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$500.000</w:t>
            </w:r>
          </w:p>
        </w:tc>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Constitución y registros</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Marketing inicial</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Landing page y material</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$1.000.000</w:t>
            </w:r>
          </w:p>
        </w:tc>
        <w:tc>
          <w:tcPr>
            <w:tcW w:type="dxa" w:w="224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Desarrollo de la landing page</w:t>
            </w:r>
          </w:p>
        </w:tc>
      </w:tr>
    </w:tbl>
    <w:p>
      <w:pPr>
        <w:spacing w:after="120"/>
      </w:pPr>
    </w:p>
    <w:p>
      <w:pPr>
        <w:spacing w:after="120" w:line="300"/>
        <w:jc w:val="both"/>
      </w:pPr>
      <w:r>
        <w:rPr>
          <w:rFonts w:ascii="Times New Roman" w:cs="Times New Roman" w:eastAsia="Times New Roman" w:hAnsi="Times New Roman"/>
          <w:b/>
          <w:bCs/>
          <w:sz w:val="24"/>
          <w:szCs w:val="24"/>
        </w:rPr>
        <w:t xml:space="preserve">Total inversión inicial:</w:t>
      </w:r>
      <w:r>
        <w:rPr>
          <w:rFonts w:ascii="Times New Roman" w:cs="Times New Roman" w:eastAsia="Times New Roman" w:hAnsi="Times New Roman"/>
          <w:sz w:val="24"/>
          <w:szCs w:val="24"/>
        </w:rPr>
        <w:t xml:space="preserve"> $1.500.000. La infraestructura en la nube ($220.000/mes) no es una inversión sino un costo de operación, y se incluye en la sección 17.2.</w:t>
      </w:r>
    </w:p>
    <w:p>
      <w:pPr>
        <w:keepNext/>
        <w:spacing w:after="100" w:before="200"/>
      </w:pPr>
      <w:r>
        <w:rPr>
          <w:rFonts w:ascii="Times New Roman" w:cs="Times New Roman" w:eastAsia="Times New Roman" w:hAnsi="Times New Roman"/>
          <w:b/>
          <w:bCs/>
          <w:sz w:val="24"/>
          <w:szCs w:val="24"/>
        </w:rPr>
        <w:t xml:space="preserve">12.3.1. Requisitos de cómputo y gastos del trabajo desde casa</w:t>
      </w:r>
    </w:p>
    <w:p>
      <w:pPr>
        <w:spacing w:after="120" w:line="300"/>
        <w:jc w:val="both"/>
      </w:pPr>
      <w:r>
        <w:rPr>
          <w:rFonts w:ascii="Times New Roman" w:cs="Times New Roman" w:eastAsia="Times New Roman" w:hAnsi="Times New Roman"/>
          <w:sz w:val="24"/>
          <w:szCs w:val="24"/>
        </w:rPr>
        <w:t xml:space="preserve">Aunque los equipos y los puestos de trabajo son de los fundadores y el trabajo se hace desde sus casas, operar StockPilot tiene costos reales: cada equipo debe cumplir unos requisitos mínimos para desarrollar y mantener el sistema, los equipos se desgastan y hay que reponerlos, y cada hogar paga la energía y el internet que se usan para programar, dar soporte y mantener la plataforma. Por eso el modelo financiero los incluye como gastos operativos y no los da por gratuitos.</w:t>
      </w:r>
    </w:p>
    <w:p>
      <w:pPr>
        <w:spacing w:after="120" w:line="300"/>
        <w:jc w:val="both"/>
      </w:pPr>
      <w:r>
        <w:rPr>
          <w:rFonts w:ascii="Times New Roman" w:cs="Times New Roman" w:eastAsia="Times New Roman" w:hAnsi="Times New Roman"/>
          <w:b/>
          <w:bCs/>
          <w:sz w:val="24"/>
          <w:szCs w:val="24"/>
        </w:rPr>
        <w:t xml:space="preserve">Requisitos mínimos del equipo de cada integrante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Componente</w:t>
            </w:r>
          </w:p>
        </w:tc>
        <w:tc>
          <w:tcPr>
            <w:tcW w:type="dxa" w:w="30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Mínimo</w:t>
            </w:r>
          </w:p>
        </w:tc>
        <w:tc>
          <w:tcPr>
            <w:tcW w:type="dxa" w:w="46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Por qué se necesita</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Procesador</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4 núcleos y 8 hilos (AMD Ryzen 5 o Intel Core i5 de generación reciente)</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Ejecutar al mismo tiempo el backend (Node.js), PostgreSQL, el servidor de desarrollo del frontend (Vite) y las pruebas automatizadas.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Memoria RAM</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16 GB</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PostgreSQL local, el navegador con herramientas de desarrollo y las pruebas de extremo a extremo con Chromium (Playwright); desde la contenerización con Docker, además, los contenedores de la aplicación y la base de datos.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Almacenamiento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SSD de 512 GB</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Repositorio y dependencias, bases de datos locales de desarrollo y de pruebas, imágenes de Docker y copias de seguridad.</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Pantalla</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14" Full HD (1920 × 1080); se recomienda un monitor externo</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Revisar la interfaz en tamaño de escritorio y de celular, y trabajar con el código y la aplicación a la vez.</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Conexión</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Internet fijo de 100 Mb o más</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Despliegues, descarga de dependencias, consultas a la API de OpenAI y soporte a los tenderos por WhatsApp y videollamada.</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Sistema operativo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Windows 11, macOS o Linux de 64 bits</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Compatibilidad con Node.js 22, PostgreSQL 15 y Docker.</w:t>
            </w:r>
          </w:p>
        </w:tc>
      </w:tr>
    </w:tbl>
    <w:p>
      <w:pPr>
        <w:spacing w:after="120"/>
      </w:pPr>
    </w:p>
    <w:p>
      <w:pPr>
        <w:spacing w:after="120" w:line="300"/>
        <w:jc w:val="both"/>
      </w:pPr>
      <w:r>
        <w:rPr>
          <w:rFonts w:ascii="Times New Roman" w:cs="Times New Roman" w:eastAsia="Times New Roman" w:hAnsi="Times New Roman"/>
          <w:b/>
          <w:bCs/>
          <w:sz w:val="24"/>
          <w:szCs w:val="24"/>
        </w:rPr>
        <w:t xml:space="preserve">Gastos del trabajo desde casa y de los equipos (supuestos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Concepto</w:t>
            </w:r>
          </w:p>
        </w:tc>
        <w:tc>
          <w:tcPr>
            <w:tcW w:type="dxa" w:w="50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Supuesto</w:t>
            </w:r>
          </w:p>
        </w:tc>
        <w:tc>
          <w:tcPr>
            <w:tcW w:type="dxa" w:w="20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Valor mensual (año 1)</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Energía del puesto de trabajo</w:t>
            </w:r>
          </w:p>
        </w:tc>
        <w:tc>
          <w:tcPr>
            <w:tcW w:type="dxa" w:w="50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75 W (portátil ≈ 45 W, monitor ≈ 20 W e iluminación ≈ 10 W) × 80 horas al mes × $863,61/kWh (Enel, tarifa plena de agosto de 2026)</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sz w:val="19"/>
                <w:szCs w:val="19"/>
              </w:rPr>
              <w:t xml:space="preserve">$5.182 por fundador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Internet del hogar</w:t>
            </w:r>
          </w:p>
        </w:tc>
        <w:tc>
          <w:tcPr>
            <w:tcW w:type="dxa" w:w="50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Plan de $60.000/mes × la parte que se usa para el proyecto: 80 de las 480 horas de uso del hogar al mes (17 %)</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sz w:val="19"/>
                <w:szCs w:val="19"/>
              </w:rPr>
              <w:t xml:space="preserve">$10.000 por fundador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Subtotal del hogar (3 fundadores)</w:t>
            </w:r>
          </w:p>
        </w:tc>
        <w:tc>
          <w:tcPr>
            <w:tcW w:type="dxa" w:w="50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Se reembolsa mientras los fundadores no reciben salario (meses 1 a 24)</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sz w:val="19"/>
                <w:szCs w:val="19"/>
              </w:rPr>
              <w:t xml:space="preserve">$45.545</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Reserva de reposición de portátiles</w:t>
            </w:r>
          </w:p>
        </w:tc>
        <w:tc>
          <w:tcPr>
            <w:tcW w:type="dxa" w:w="50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3 portátiles × $2.500.000 ÷ 60 meses de vida útil</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sz w:val="19"/>
                <w:szCs w:val="19"/>
              </w:rPr>
              <w:t xml:space="preserve">$125.000</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Portátiles para colaboradores nuevos</w:t>
            </w:r>
          </w:p>
        </w:tc>
        <w:tc>
          <w:tcPr>
            <w:tcW w:type="dxa" w:w="50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sz w:val="19"/>
                <w:szCs w:val="19"/>
              </w:rPr>
              <w:t xml:space="preserve">$2.500.000 por cada colaborador al vincularse (el primero, en el mes 31)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sz w:val="19"/>
                <w:szCs w:val="19"/>
              </w:rPr>
              <w:t xml:space="preserve">—</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Total</w:t>
            </w:r>
          </w:p>
        </w:tc>
        <w:tc>
          <w:tcPr>
            <w:tcW w:type="dxa" w:w="50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$170.545</w:t>
            </w:r>
          </w:p>
        </w:tc>
      </w:tr>
    </w:tbl>
    <w:p>
      <w:pPr>
        <w:spacing w:after="120"/>
      </w:pPr>
    </w:p>
    <w:p>
      <w:pPr>
        <w:spacing w:after="120" w:line="300"/>
        <w:jc w:val="both"/>
      </w:pPr>
      <w:r>
        <w:rPr>
          <w:rFonts w:ascii="Times New Roman" w:cs="Times New Roman" w:eastAsia="Times New Roman" w:hAnsi="Times New Roman"/>
          <w:sz w:val="24"/>
          <w:szCs w:val="24"/>
        </w:rPr>
        <w:t xml:space="preserve">Los valores se ajustan 5 % cada año. En el año 2 cada fundador trabaja 120 horas al mes, así que el reembolso del hogar sube a $71.733 al mes para los tres. Desde el mes 25, cuando los fundadores reciben salario, la nómina ya incluye el auxilio de transporte; al trabajar desde casa se paga como auxilio de conectividad digital, del mismo valor, que cubre la energía y el internet (Ley 2088 de 2021 y Ley 2121 de 2021). Por eso el reembolso del hogar solo se paga los dos primeros años. En total, estos gastos suman $2.046.540 en el año 1, $2.435.800 en el año 2, $4.410.000 en el año 3, $4.630.500 en el año 4 y $4.862.025 en el año 5.</w:t>
      </w:r>
    </w:p>
    <w:p>
      <w:pPr>
        <w:spacing w:after="120" w:line="300"/>
        <w:jc w:val="both"/>
      </w:pPr>
      <w:r>
        <w:rPr>
          <w:rFonts w:ascii="Times New Roman" w:cs="Times New Roman" w:eastAsia="Times New Roman" w:hAnsi="Times New Roman"/>
          <w:sz w:val="24"/>
          <w:szCs w:val="24"/>
        </w:rPr>
        <w:t xml:space="preserve">Fuentes de los supuestos: la tarifa de energía es la tarifa plena de Enel para agosto de 2026. El estrato 4 la paga completa, y el estrato 3 solo recibe subsidio hasta el consumo de subsistencia (130 kWh al mes en Bogotá), así que el consumo adicional del puesto de trabajo cuesta lo mismo en ambos estratos. Los planes de internet de entrada en Bogotá hoy son de 200 a 500 Mb y cuestan entre $46.990 y $79.900 al mes con IVA; se toma $60.000 como referencia. El precio del portátil corresponde a un equipo que cumple los requisitos mínimos (Ryzen 5, 16 GB, SSD de 512 GB), que se consigue desde unos $2.300.000, y la vida útil de 60 meses corresponde a la tasa máxima de depreciación de los equipos de cómputo (20 % anual).</w:t>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la tabla de la sección 13 reemplace la columna "Cargos que participan" así: actividades 1 y 4 → "Fundador (rol comercial)"; actividades 2, 3 y 6 → "Fundador (rol técnico)". En 14.1 reemplace el párrafo por el siguiente.</w:t>
      </w:r>
    </w:p>
    <w:p>
      <w:pPr>
        <w:spacing w:after="120" w:line="300"/>
        <w:jc w:val="both"/>
      </w:pPr>
      <w:r>
        <w:rPr>
          <w:rFonts w:ascii="Times New Roman" w:cs="Times New Roman" w:eastAsia="Times New Roman" w:hAnsi="Times New Roman"/>
          <w:b/>
          <w:bCs/>
          <w:sz w:val="24"/>
          <w:szCs w:val="24"/>
        </w:rPr>
        <w:t xml:space="preserve">14.1. Capacidad Instalada:</w:t>
      </w:r>
      <w:r>
        <w:rPr>
          <w:rFonts w:ascii="Times New Roman" w:cs="Times New Roman" w:eastAsia="Times New Roman" w:hAnsi="Times New Roman"/>
          <w:sz w:val="24"/>
          <w:szCs w:val="24"/>
        </w:rPr>
        <w:t xml:space="preserve"> la infraestructura en la nube (Render + Neon PostgreSQL) atendió 12,9 peticiones por segundo sin errores en la prueba de carga. Con una operación de 40 a 60 transacciones diarias por tienda, esa capacidad alcanza para varios cientos de tiendas en un solo servidor; al superar 300 y 700 clientes se sube de plan (ver supuestos de infraestructura en 17.2).</w:t>
      </w: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 sección 15.2 completa (tabla, nota y total de nómina).</w:t>
      </w:r>
    </w:p>
    <w:p>
      <w:pPr>
        <w:keepNext/>
        <w:spacing w:after="100" w:before="200"/>
      </w:pPr>
      <w:r>
        <w:rPr>
          <w:rFonts w:ascii="Times New Roman" w:cs="Times New Roman" w:eastAsia="Times New Roman" w:hAnsi="Times New Roman"/>
          <w:b/>
          <w:bCs/>
          <w:sz w:val="24"/>
          <w:szCs w:val="24"/>
        </w:rPr>
        <w:t xml:space="preserve">15.2. Cargos Requeridos para la Operación</w:t>
      </w:r>
    </w:p>
    <w:p>
      <w:pPr>
        <w:spacing w:after="120" w:line="300"/>
        <w:jc w:val="both"/>
      </w:pPr>
      <w:r>
        <w:rPr>
          <w:rFonts w:ascii="Times New Roman" w:cs="Times New Roman" w:eastAsia="Times New Roman" w:hAnsi="Times New Roman"/>
          <w:sz w:val="24"/>
          <w:szCs w:val="24"/>
        </w:rPr>
        <w:t xml:space="preserve">Durante el primer y el segundo año </w:t>
      </w:r>
      <w:r>
        <w:rPr>
          <w:rFonts w:ascii="Times New Roman" w:cs="Times New Roman" w:eastAsia="Times New Roman" w:hAnsi="Times New Roman"/>
          <w:b/>
          <w:bCs/>
          <w:sz w:val="24"/>
          <w:szCs w:val="24"/>
        </w:rPr>
        <w:t xml:space="preserve">no se contrata personal</w:t>
      </w:r>
      <w:r>
        <w:rPr>
          <w:rFonts w:ascii="Times New Roman" w:cs="Times New Roman" w:eastAsia="Times New Roman" w:hAnsi="Times New Roman"/>
          <w:sz w:val="24"/>
          <w:szCs w:val="24"/>
        </w:rPr>
        <w:t xml:space="preserve">: los tres fundadores cubren las ventas, la incorporación de clientes, el soporte y el desarrollo. En lugar de un calendario fijo de contrataciones, se aplica una </w:t>
      </w:r>
      <w:r>
        <w:rPr>
          <w:rFonts w:ascii="Times New Roman" w:cs="Times New Roman" w:eastAsia="Times New Roman" w:hAnsi="Times New Roman"/>
          <w:b/>
          <w:bCs/>
          <w:sz w:val="24"/>
          <w:szCs w:val="24"/>
        </w:rPr>
        <w:t xml:space="preserve">regla de contratación por carga de trabajo</w:t>
      </w:r>
      <w:r>
        <w:rPr>
          <w:rFonts w:ascii="Times New Roman" w:cs="Times New Roman" w:eastAsia="Times New Roman" w:hAnsi="Times New Roman"/>
          <w:sz w:val="24"/>
          <w:szCs w:val="24"/>
        </w:rPr>
        <w:t xml:space="preserve">: se vincula un colaborador cuando las horas que exige la operación superan la capacidad del equipo fundador.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Fuente de carga</w:t>
            </w:r>
          </w:p>
        </w:tc>
        <w:tc>
          <w:tcPr>
            <w:tcW w:type="dxa" w:w="280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Supuesto</w:t>
            </w:r>
          </w:p>
        </w:tc>
        <w:tc>
          <w:tcPr>
            <w:tcW w:type="dxa" w:w="374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Fundamento</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Soporte</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20 minutos por cliente activo al mes</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Consultas por WhatsApp y ajustes</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Incorporación de clientes</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1,7 horas por cliente nuevo</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Sección 13 (proceso de activación)</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Ventas</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 horas por cliente nuevo</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Demostraciones y visitas con una tasa de cierre del 25 %</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Desarrollo y mantenimiento</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80 horas al mes + 5 horas por cada 100 clientes</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Correcciones, seguridad, respaldos y mejoras</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Capacidad de los fundadores</w:t>
            </w:r>
          </w:p>
        </w:tc>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 × 80 h/mes (año 1), 3 × 120 h/mes (año 2), 3 × 160 h/mes (año 3 en adelante)</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Medio tiempo mientras terminan la carrera; luego tiempo completo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246"/>
        <w:gridCol w:w="1872"/>
        <w:gridCol w:w="1123"/>
        <w:gridCol w:w="1310"/>
        <w:gridCol w:w="1311"/>
      </w:tblGrid>
      <w:tr>
        <w:trPr>
          <w:tblHeader/>
        </w:trPr>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Cargo</w:t>
            </w:r>
          </w:p>
        </w:tc>
        <w:tc>
          <w:tcPr>
            <w:tcW w:type="dxa" w:w="224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Funciones principales</w:t>
            </w:r>
          </w:p>
        </w:tc>
        <w:tc>
          <w:tcPr>
            <w:tcW w:type="dxa" w:w="1872"/>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Perfil requerido</w:t>
            </w:r>
          </w:p>
        </w:tc>
        <w:tc>
          <w:tcPr>
            <w:tcW w:type="dxa" w:w="1123"/>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Contratación</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Costo mensual total (año 1)</w:t>
            </w:r>
          </w:p>
        </w:tc>
        <w:tc>
          <w:tcPr>
            <w:tcW w:type="dxa" w:w="1311"/>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Vinculación</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Colaborador de soporte y ventas</w:t>
            </w:r>
          </w:p>
        </w:tc>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Soporte a tenderos, incorporación de clientes, demostraciones y apoyo en pruebas</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Tecnólogo o estudiante de últimos semestres, 1 año de experiencia</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Nómina, tiempo completo</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$3.060.125</w:t>
            </w:r>
          </w:p>
          <w:p>
            <w:pPr>
              <w:spacing w:after="30" w:line="250"/>
              <w:jc w:val="left"/>
            </w:pPr>
            <w:r>
              <w:rPr>
                <w:rFonts w:ascii="Times New Roman" w:cs="Times New Roman" w:eastAsia="Times New Roman" w:hAnsi="Times New Roman"/>
                <w:b w:val="false"/>
                <w:bCs w:val="false"/>
                <w:sz w:val="19"/>
                <w:szCs w:val="19"/>
              </w:rPr>
              <w:t xml:space="preserve">(salario $2.000.000 + prestaciones + auxilio de transporte)</w:t>
            </w:r>
          </w:p>
        </w:tc>
        <w:tc>
          <w:tcPr>
            <w:tcW w:type="dxa" w:w="13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31 (1.º), mes 43 (2.º), mes 54 (3.º)</w:t>
            </w:r>
          </w:p>
        </w:tc>
      </w:tr>
      <w:tr>
        <w:trPr>
          <w:cantSplit/>
        </w:trPr>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Fundadores (3)</w:t>
            </w:r>
          </w:p>
        </w:tc>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Dirección, ventas, desarrollo y soporte</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Ingenieros de sistemas (equipo fundador)</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Nómina desde el mes 25</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$4.443.645 c/u</w:t>
            </w:r>
          </w:p>
          <w:p>
            <w:pPr>
              <w:spacing w:after="30" w:line="250"/>
              <w:jc w:val="left"/>
            </w:pPr>
            <w:r>
              <w:rPr>
                <w:rFonts w:ascii="Times New Roman" w:cs="Times New Roman" w:eastAsia="Times New Roman" w:hAnsi="Times New Roman"/>
                <w:b w:val="false"/>
                <w:bCs w:val="false"/>
                <w:sz w:val="19"/>
                <w:szCs w:val="19"/>
              </w:rPr>
              <w:t xml:space="preserve">(salario $3.000.000 + prestaciones)</w:t>
            </w:r>
          </w:p>
        </w:tc>
        <w:tc>
          <w:tcPr>
            <w:tcW w:type="dxa" w:w="13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Sin salario hasta el mes 24</w:t>
            </w:r>
          </w:p>
        </w:tc>
      </w:tr>
    </w:tbl>
    <w:p>
      <w:pPr>
        <w:spacing w:after="120"/>
      </w:pPr>
    </w:p>
    <w:p>
      <w:pPr>
        <w:spacing w:after="120" w:line="300"/>
        <w:jc w:val="both"/>
      </w:pPr>
      <w:r>
        <w:rPr>
          <w:rFonts w:ascii="Times New Roman" w:cs="Times New Roman" w:eastAsia="Times New Roman" w:hAnsi="Times New Roman"/>
          <w:b/>
          <w:bCs/>
          <w:sz w:val="24"/>
          <w:szCs w:val="24"/>
        </w:rPr>
        <w:t xml:space="preserve">Nota:</w:t>
      </w:r>
      <w:r>
        <w:rPr>
          <w:rFonts w:ascii="Times New Roman" w:cs="Times New Roman" w:eastAsia="Times New Roman" w:hAnsi="Times New Roman"/>
          <w:sz w:val="24"/>
          <w:szCs w:val="24"/>
        </w:rPr>
        <w:t xml:space="preserve"> el costo mensual incluye aportes del empleador (pensión 12 %, ARL 0,522 %, caja de compensación 4 %) y prestaciones (cesantías, intereses, prima y vacaciones), más el auxilio de transporte para salarios de hasta 2 SMMLV (SMMLV 2026: $1.750.905; auxilio: $249.095). Se supone la exoneración de salud, SENA e ICBF del art. 114-1 del Estatuto Tributario, que debe confirmarse con el contador. Los valores se ajustan 5 % por año.</w:t>
      </w:r>
    </w:p>
    <w:p>
      <w:pPr>
        <w:spacing w:after="120" w:line="300"/>
        <w:jc w:val="both"/>
      </w:pPr>
      <w:r>
        <w:rPr>
          <w:rFonts w:ascii="Times New Roman" w:cs="Times New Roman" w:eastAsia="Times New Roman" w:hAnsi="Times New Roman"/>
          <w:b/>
          <w:bCs/>
          <w:sz w:val="24"/>
          <w:szCs w:val="24"/>
        </w:rPr>
        <w:t xml:space="preserve">Nómina por año:</w:t>
      </w:r>
      <w:r>
        <w:rPr>
          <w:rFonts w:ascii="Times New Roman" w:cs="Times New Roman" w:eastAsia="Times New Roman" w:hAnsi="Times New Roman"/>
          <w:sz w:val="24"/>
          <w:szCs w:val="24"/>
        </w:rPr>
        <w:t xml:space="preserve"> año 1: $0; año 2: $0; año 3: $196.611.005; año 4: $248.951.284; año 5: $309.753.665. El trabajo no remunerado de los fundadores en los años 1 y 2 equivale a $205.962.954 a costo de mercado y constituye su aporte en especie al proyecto.</w:t>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las tablas de las secciones 16.1 y 16.2.</w:t>
      </w:r>
    </w:p>
    <w:p>
      <w:pPr>
        <w:keepNext/>
        <w:spacing w:after="100" w:before="200"/>
      </w:pPr>
      <w:r>
        <w:rPr>
          <w:rFonts w:ascii="Times New Roman" w:cs="Times New Roman" w:eastAsia="Times New Roman" w:hAnsi="Times New Roman"/>
          <w:b/>
          <w:bCs/>
          <w:sz w:val="24"/>
          <w:szCs w:val="24"/>
        </w:rPr>
        <w:t xml:space="preserve">16.1. Período de Arranque</w:t>
      </w:r>
    </w:p>
    <w:p>
      <w:pPr>
        <w:spacing w:after="120" w:line="300"/>
        <w:jc w:val="both"/>
      </w:pPr>
      <w:r>
        <w:rPr>
          <w:rFonts w:ascii="Times New Roman" w:cs="Times New Roman" w:eastAsia="Times New Roman" w:hAnsi="Times New Roman"/>
          <w:b/>
          <w:bCs/>
          <w:sz w:val="24"/>
          <w:szCs w:val="24"/>
        </w:rPr>
        <w:t xml:space="preserve">Tiempo estimado:</w:t>
      </w:r>
      <w:r>
        <w:rPr>
          <w:rFonts w:ascii="Times New Roman" w:cs="Times New Roman" w:eastAsia="Times New Roman" w:hAnsi="Times New Roman"/>
          <w:sz w:val="24"/>
          <w:szCs w:val="24"/>
        </w:rPr>
        <w:t xml:space="preserve"> 3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936"/>
        <w:gridCol w:w="5429"/>
      </w:tblGrid>
      <w:tr>
        <w:trPr>
          <w:tblHeader/>
        </w:trPr>
        <w:tc>
          <w:tcPr>
            <w:tcW w:type="dxa" w:w="299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Actividad</w:t>
            </w:r>
          </w:p>
        </w:tc>
        <w:tc>
          <w:tcPr>
            <w:tcW w:type="dxa" w:w="93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Mes</w:t>
            </w:r>
          </w:p>
        </w:tc>
        <w:tc>
          <w:tcPr>
            <w:tcW w:type="dxa" w:w="542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Constitución legal (SAS)</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Elaboración de la minuta e inscripción en la Cámara de Comercio de Bogotá</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Apertura de cuenta bancaria empresarial</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Cuenta a nombre de StockPilot SAS</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Registro en Cámara de Comercio</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Certificado de existencia y representación legal</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Inscripción en DIAN (RUT) y facturación electrónica</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Registro Único Tributario</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Política de tratamiento de datos y respaldos de la base de datos</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Requisitos antes de recibir datos de negocios reales (Ley 1581 de 2012)</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Lanzamiento comercial</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Convocatoria de prueba gratuita y prospección en campo</w:t>
            </w:r>
          </w:p>
        </w:tc>
      </w:tr>
    </w:tbl>
    <w:p>
      <w:pPr>
        <w:spacing w:after="120"/>
      </w:pPr>
    </w:p>
    <w:p>
      <w:pPr>
        <w:keepNext/>
        <w:spacing w:after="100" w:before="200"/>
      </w:pPr>
      <w:r>
        <w:rPr>
          <w:rFonts w:ascii="Times New Roman" w:cs="Times New Roman" w:eastAsia="Times New Roman" w:hAnsi="Times New Roman"/>
          <w:b/>
          <w:bCs/>
          <w:sz w:val="24"/>
          <w:szCs w:val="24"/>
        </w:rPr>
        <w:t xml:space="preserve">16.2. Período Improductivo</w:t>
      </w:r>
    </w:p>
    <w:p>
      <w:pPr>
        <w:spacing w:after="120" w:line="300"/>
        <w:jc w:val="both"/>
      </w:pPr>
      <w:r>
        <w:rPr>
          <w:rFonts w:ascii="Times New Roman" w:cs="Times New Roman" w:eastAsia="Times New Roman" w:hAnsi="Times New Roman"/>
          <w:b/>
          <w:bCs/>
          <w:sz w:val="24"/>
          <w:szCs w:val="24"/>
        </w:rPr>
        <w:t xml:space="preserve">Tiempo estimado:</w:t>
      </w:r>
      <w:r>
        <w:rPr>
          <w:rFonts w:ascii="Times New Roman" w:cs="Times New Roman" w:eastAsia="Times New Roman" w:hAnsi="Times New Roman"/>
          <w:sz w:val="24"/>
          <w:szCs w:val="24"/>
        </w:rPr>
        <w:t xml:space="preserve"> 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936"/>
        <w:gridCol w:w="5429"/>
      </w:tblGrid>
      <w:tr>
        <w:trPr>
          <w:tblHeader/>
        </w:trPr>
        <w:tc>
          <w:tcPr>
            <w:tcW w:type="dxa" w:w="299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Actividad</w:t>
            </w:r>
          </w:p>
        </w:tc>
        <w:tc>
          <w:tcPr>
            <w:tcW w:type="dxa" w:w="93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Mes</w:t>
            </w:r>
          </w:p>
        </w:tc>
        <w:tc>
          <w:tcPr>
            <w:tcW w:type="dxa" w:w="542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Descripción</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Montaje y constitución</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Actividades legales y administrativas</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Ajustes post-PMV</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Modo básico para tenderos y ajustes derivados de la prueba de usabilidad</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Campaña de lanzamiento</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Convocatoria digital y contacto directo con los negocios encuestados</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Primeros clientes con pago</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w:t>
            </w:r>
          </w:p>
        </w:tc>
        <w:tc>
          <w:tcPr>
            <w:tcW w:type="dxa" w:w="542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Conversión de las primeras pruebas gratuitas en suscripciones</w:t>
            </w:r>
          </w:p>
        </w:tc>
      </w:tr>
    </w:tbl>
    <w:p>
      <w:pPr>
        <w:spacing w:after="120"/>
      </w:pP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 sección 17 COMPLETA (de 17.1 a 17.8). Las cifras son del escenario base del modelo financiero; el detalle mes a mes y los otros escenarios están en el archivo Excel, que puede adjuntarse como anexo.</w:t>
      </w:r>
    </w:p>
    <w:p>
      <w:pPr>
        <w:pStyle w:val="Heading2"/>
        <w:spacing w:after="120" w:before="120"/>
      </w:pPr>
      <w:r>
        <w:rPr>
          <w:rFonts w:ascii="Times New Roman" w:cs="Times New Roman" w:eastAsia="Times New Roman" w:hAnsi="Times New Roman"/>
          <w:b/>
          <w:bCs/>
          <w:sz w:val="26"/>
          <w:szCs w:val="26"/>
        </w:rPr>
        <w:t xml:space="preserve">17. Proyecciones Financieras (5 años)</w:t>
      </w:r>
    </w:p>
    <w:p>
      <w:pPr>
        <w:spacing w:after="120" w:line="300"/>
        <w:jc w:val="both"/>
      </w:pPr>
      <w:r>
        <w:rPr>
          <w:rFonts w:ascii="Times New Roman" w:cs="Times New Roman" w:eastAsia="Times New Roman" w:hAnsi="Times New Roman"/>
          <w:sz w:val="24"/>
          <w:szCs w:val="24"/>
        </w:rPr>
        <w:t xml:space="preserve">La proyección se construyó con un modelo financiero que calcula mes a mes durante 60 meses y resume por año. Todos los valores están en pesos colombianos corrientes, con un ajuste anual del 5 % en precios, salarios y gastos. Los supuestos de los años 2 a 5 son estimaciones del equipo y se revisarán con los resultados del piloto.</w:t>
      </w:r>
    </w:p>
    <w:p>
      <w:pPr>
        <w:keepNext/>
        <w:spacing w:after="100" w:before="200"/>
      </w:pPr>
      <w:r>
        <w:rPr>
          <w:rFonts w:ascii="Times New Roman" w:cs="Times New Roman" w:eastAsia="Times New Roman" w:hAnsi="Times New Roman"/>
          <w:b/>
          <w:bCs/>
          <w:sz w:val="24"/>
          <w:szCs w:val="24"/>
        </w:rPr>
        <w:t xml:space="preserve">17.1. Proyección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310"/>
        <w:gridCol w:w="1310"/>
        <w:gridCol w:w="1404"/>
        <w:gridCol w:w="1310"/>
        <w:gridCol w:w="1405"/>
      </w:tblGrid>
      <w:tr>
        <w:trPr>
          <w:tblHeader/>
        </w:trPr>
        <w:tc>
          <w:tcPr>
            <w:tcW w:type="dxa" w:w="2621"/>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Concepto</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1</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2</w:t>
            </w:r>
          </w:p>
        </w:tc>
        <w:tc>
          <w:tcPr>
            <w:tcW w:type="dxa" w:w="140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3</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4</w:t>
            </w:r>
          </w:p>
        </w:tc>
        <w:tc>
          <w:tcPr>
            <w:tcW w:type="dxa" w:w="140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5</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Clientes activos al cierre</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120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300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600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900</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1.200</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Clientes nuevos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139</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253</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458</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566</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674</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Clientes retirados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19</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73</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158</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266</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374</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Precio mensual</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$39.900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$41.895</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$43.990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$46.189</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$48.499</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7"/>
                <w:szCs w:val="17"/>
              </w:rPr>
              <w:t xml:space="preserve">Ingresos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$29.925.000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$109.345.950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$244.143.113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$422.631.523</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$618.358.417</w:t>
            </w:r>
          </w:p>
        </w:tc>
      </w:tr>
    </w:tbl>
    <w:p>
      <w:pPr>
        <w:spacing w:after="120"/>
      </w:pPr>
    </w:p>
    <w:p>
      <w:pPr>
        <w:spacing w:after="120" w:line="300"/>
        <w:jc w:val="both"/>
      </w:pPr>
      <w:r>
        <w:rPr>
          <w:rFonts w:ascii="Times New Roman" w:cs="Times New Roman" w:eastAsia="Times New Roman" w:hAnsi="Times New Roman"/>
          <w:sz w:val="24"/>
          <w:szCs w:val="24"/>
        </w:rPr>
        <w:t xml:space="preserve">El detalle mensual del año 1 está en la sección 8.2. Metas de clientes: 120 (año 1), 300 (año 2) y 600 (año 3), que corresponden al mercado obtenible definido en 3.1; 900 (año 4) y 1.200 (año 5), con la expansión a otras ciudades.</w:t>
      </w:r>
    </w:p>
    <w:p>
      <w:pPr>
        <w:keepNext/>
        <w:spacing w:after="100" w:before="200"/>
      </w:pPr>
      <w:r>
        <w:rPr>
          <w:rFonts w:ascii="Times New Roman" w:cs="Times New Roman" w:eastAsia="Times New Roman" w:hAnsi="Times New Roman"/>
          <w:b/>
          <w:bCs/>
          <w:sz w:val="24"/>
          <w:szCs w:val="24"/>
        </w:rPr>
        <w:t xml:space="preserve">17.2. Proyección de Costos (operación del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310"/>
        <w:gridCol w:w="1310"/>
        <w:gridCol w:w="1404"/>
        <w:gridCol w:w="1310"/>
        <w:gridCol w:w="1405"/>
      </w:tblGrid>
      <w:tr>
        <w:trPr>
          <w:tblHeader/>
        </w:trPr>
        <w:tc>
          <w:tcPr>
            <w:tcW w:type="dxa" w:w="2621"/>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Concepto</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1</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2</w:t>
            </w:r>
          </w:p>
        </w:tc>
        <w:tc>
          <w:tcPr>
            <w:tcW w:type="dxa" w:w="140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3</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4</w:t>
            </w:r>
          </w:p>
        </w:tc>
        <w:tc>
          <w:tcPr>
            <w:tcW w:type="dxa" w:w="140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5</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API de OpenAI ($1.250 por cliente activo/mes)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$937.500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$3.425.625</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$7.648.594</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$13.240.336</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$19.372.131</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Comisión de pasarela de pagos (3 % del ingreso)</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$897.750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$3.280.379</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$7.324.293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$12.678.946</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$18.550.753</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Infraestructura en la nube (Render + Neon)</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$2.640.000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$2.640.000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$5.400.000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$8.200.000</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$9.600.000</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7"/>
                <w:szCs w:val="17"/>
              </w:rPr>
              <w:t xml:space="preserve">Total costos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$4.475.250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$9.346.004</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$20.372.887</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$34.119.282</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$47.522.883</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Margen bruto (%)</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85,0 %</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91,5 %</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91,7 %</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91,9 %</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92,3 %</w:t>
            </w:r>
          </w:p>
        </w:tc>
      </w:tr>
    </w:tbl>
    <w:p>
      <w:pPr>
        <w:spacing w:after="120"/>
      </w:pPr>
    </w:p>
    <w:p>
      <w:pPr>
        <w:spacing w:after="120" w:line="300"/>
        <w:jc w:val="both"/>
      </w:pPr>
      <w:r>
        <w:rPr>
          <w:rFonts w:ascii="Times New Roman" w:cs="Times New Roman" w:eastAsia="Times New Roman" w:hAnsi="Times New Roman"/>
          <w:sz w:val="24"/>
          <w:szCs w:val="24"/>
        </w:rPr>
        <w:t xml:space="preserve">La infraestructura cuesta $220.000/mes hasta 300 clientes, $450.000/mes hasta 700 y $800.000/mes por encima de 700.</w:t>
      </w:r>
    </w:p>
    <w:p>
      <w:pPr>
        <w:keepNext/>
        <w:spacing w:after="100" w:before="200"/>
      </w:pPr>
      <w:r>
        <w:rPr>
          <w:rFonts w:ascii="Times New Roman" w:cs="Times New Roman" w:eastAsia="Times New Roman" w:hAnsi="Times New Roman"/>
          <w:b/>
          <w:bCs/>
          <w:sz w:val="24"/>
          <w:szCs w:val="24"/>
        </w:rPr>
        <w:t xml:space="preserve">17.3. Proyección de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310"/>
        <w:gridCol w:w="1310"/>
        <w:gridCol w:w="1404"/>
        <w:gridCol w:w="1310"/>
        <w:gridCol w:w="1405"/>
      </w:tblGrid>
      <w:tr>
        <w:trPr>
          <w:tblHeader/>
        </w:trPr>
        <w:tc>
          <w:tcPr>
            <w:tcW w:type="dxa" w:w="2621"/>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Concepto</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1</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2</w:t>
            </w:r>
          </w:p>
        </w:tc>
        <w:tc>
          <w:tcPr>
            <w:tcW w:type="dxa" w:w="140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3</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4</w:t>
            </w:r>
          </w:p>
        </w:tc>
        <w:tc>
          <w:tcPr>
            <w:tcW w:type="dxa" w:w="140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7"/>
                <w:szCs w:val="17"/>
              </w:rPr>
              <w:t xml:space="preserve">Año 5</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Nómina de colaboradores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$20.242.728</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$63.764.593</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$115.307.640</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Nómina de fundadores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$176.368.277</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$185.186.691</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$194.446.025</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Marketing y adquisición de clientes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$9.028.500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$17.260.425</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$32.785.594</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$42.551.401</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$53.211.825</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Arriendo de coworking</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$6.615.000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$6.945.750</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$7.293.038</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Gastos administrativos y legales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$2.400.000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$4.800.000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$5.040.000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$5.292.000</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$5.556.600</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Software, herramientas, dominio y SSL</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$1.320.000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$1.386.000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$1.455.300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$1.528.065</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$1.604.468</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Energía e internet del hogar (fundadores sin salario)</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$546.540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$860.800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Reserva de reposición de portátiles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$1.500.000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$1.575.000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$1.653.750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$1.736.438</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$1.823.259</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Portátiles para colaboradores nuevos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$0</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$2.756.250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$2.894.063</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$3.038.766</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7"/>
                <w:szCs w:val="17"/>
              </w:rPr>
              <w:t xml:space="preserve">Total gastos</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$14.795.040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$25.882.225</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$246.916.899</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$309.899.000</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7"/>
                <w:szCs w:val="17"/>
              </w:rPr>
              <w:t xml:space="preserve">$382.281.621</w:t>
            </w:r>
          </w:p>
        </w:tc>
      </w:tr>
      <w:tr>
        <w:trPr>
          <w:cantSplit/>
        </w:trPr>
        <w:tc>
          <w:tcPr>
            <w:tcW w:type="dxa" w:w="262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7"/>
                <w:szCs w:val="17"/>
              </w:rPr>
              <w:t xml:space="preserve">Personas en el equipo al cierre</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3</w:t>
            </w:r>
          </w:p>
        </w:tc>
        <w:tc>
          <w:tcPr>
            <w:tcW w:type="dxa" w:w="140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4</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5</w:t>
            </w:r>
          </w:p>
        </w:tc>
        <w:tc>
          <w:tcPr>
            <w:tcW w:type="dxa" w:w="14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7"/>
                <w:szCs w:val="17"/>
              </w:rPr>
              <w:t xml:space="preserve">6</w:t>
            </w:r>
          </w:p>
        </w:tc>
      </w:tr>
    </w:tbl>
    <w:p>
      <w:pPr>
        <w:spacing w:after="120"/>
      </w:pPr>
    </w:p>
    <w:p>
      <w:pPr>
        <w:spacing w:after="120" w:line="300"/>
        <w:jc w:val="both"/>
      </w:pPr>
      <w:r>
        <w:rPr>
          <w:rFonts w:ascii="Times New Roman" w:cs="Times New Roman" w:eastAsia="Times New Roman" w:hAnsi="Times New Roman"/>
          <w:sz w:val="24"/>
          <w:szCs w:val="24"/>
        </w:rPr>
        <w:t xml:space="preserve">El marketing se calcula como $65.000 por cliente nuevo (ajustado por inflación). Los gastos administrativos incluyen el contador externo desde el año 2. Los gastos del hogar y de los equipos se explican en la sección 12.3.1.</w:t>
      </w:r>
    </w:p>
    <w:p>
      <w:pPr>
        <w:keepNext/>
        <w:spacing w:after="100" w:before="200"/>
      </w:pPr>
      <w:r>
        <w:rPr>
          <w:rFonts w:ascii="Times New Roman" w:cs="Times New Roman" w:eastAsia="Times New Roman" w:hAnsi="Times New Roman"/>
          <w:b/>
          <w:bCs/>
          <w:sz w:val="24"/>
          <w:szCs w:val="24"/>
        </w:rPr>
        <w:t xml:space="preserve">Detalle mensual de gastos del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700"/>
        <w:gridCol w:w="1700"/>
        <w:gridCol w:w="1560"/>
        <w:gridCol w:w="1700"/>
      </w:tblGrid>
      <w:tr>
        <w:trPr>
          <w:tblHeader/>
        </w:trPr>
        <w:tc>
          <w:tcPr>
            <w:tcW w:type="dxa" w:w="10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Mes</w:t>
            </w:r>
          </w:p>
        </w:tc>
        <w:tc>
          <w:tcPr>
            <w:tcW w:type="dxa" w:w="17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Marketing</w:t>
            </w:r>
          </w:p>
        </w:tc>
        <w:tc>
          <w:tcPr>
            <w:tcW w:type="dxa" w:w="17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Administración</w:t>
            </w:r>
          </w:p>
        </w:tc>
        <w:tc>
          <w:tcPr>
            <w:tcW w:type="dxa" w:w="17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Software y dominio</w:t>
            </w:r>
          </w:p>
        </w:tc>
        <w:tc>
          <w:tcPr>
            <w:tcW w:type="dxa" w:w="156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Hogar y equipos</w:t>
            </w:r>
          </w:p>
        </w:tc>
        <w:tc>
          <w:tcPr>
            <w:tcW w:type="dxa" w:w="170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Total</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$649.740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$1.130.285</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$344.752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$825.297</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$678.990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$1.159.535</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$699.262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$1.179.807</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$717.998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$1.198.543</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$737.490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$1.218.035</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7</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$757.762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$1.238.307</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$1.101.758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$1.582.303</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$805.748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$1.286.293</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$825.240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$1.305.785</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$845.512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$1.326.057</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$864.248</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$110.000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$170.545</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$1.344.793</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Total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$9.028.500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$2.400.000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$1.320.000</w:t>
            </w:r>
          </w:p>
        </w:tc>
        <w:tc>
          <w:tcPr>
            <w:tcW w:type="dxa" w:w="156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$2.046.540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$14.795.040</w:t>
            </w:r>
          </w:p>
        </w:tc>
      </w:tr>
    </w:tbl>
    <w:p>
      <w:pPr>
        <w:spacing w:after="120"/>
      </w:pPr>
    </w:p>
    <w:p>
      <w:pPr>
        <w:keepNext/>
        <w:spacing w:after="100" w:before="200"/>
      </w:pPr>
      <w:r>
        <w:rPr>
          <w:rFonts w:ascii="Times New Roman" w:cs="Times New Roman" w:eastAsia="Times New Roman" w:hAnsi="Times New Roman"/>
          <w:b/>
          <w:bCs/>
          <w:sz w:val="24"/>
          <w:szCs w:val="24"/>
        </w:rPr>
        <w:t xml:space="preserve">17.4. Estado de Resultados y Flujo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1217"/>
        <w:gridCol w:w="1217"/>
        <w:gridCol w:w="1217"/>
        <w:gridCol w:w="1217"/>
        <w:gridCol w:w="1310"/>
      </w:tblGrid>
      <w:tr>
        <w:trPr>
          <w:tblHeader/>
        </w:trPr>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6"/>
                <w:szCs w:val="16"/>
              </w:rPr>
              <w:t xml:space="preserve">Concepto</w:t>
            </w:r>
          </w:p>
        </w:tc>
        <w:tc>
          <w:tcPr>
            <w:tcW w:type="dxa" w:w="1123"/>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6"/>
                <w:szCs w:val="16"/>
              </w:rPr>
              <w:t xml:space="preserve">Año 0</w:t>
            </w:r>
          </w:p>
        </w:tc>
        <w:tc>
          <w:tcPr>
            <w:tcW w:type="dxa" w:w="1217"/>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6"/>
                <w:szCs w:val="16"/>
              </w:rPr>
              <w:t xml:space="preserve">Año 1</w:t>
            </w:r>
          </w:p>
        </w:tc>
        <w:tc>
          <w:tcPr>
            <w:tcW w:type="dxa" w:w="1217"/>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6"/>
                <w:szCs w:val="16"/>
              </w:rPr>
              <w:t xml:space="preserve">Año 2</w:t>
            </w:r>
          </w:p>
        </w:tc>
        <w:tc>
          <w:tcPr>
            <w:tcW w:type="dxa" w:w="1217"/>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6"/>
                <w:szCs w:val="16"/>
              </w:rPr>
              <w:t xml:space="preserve">Año 3</w:t>
            </w:r>
          </w:p>
        </w:tc>
        <w:tc>
          <w:tcPr>
            <w:tcW w:type="dxa" w:w="1217"/>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6"/>
                <w:szCs w:val="16"/>
              </w:rPr>
              <w:t xml:space="preserve">Año 4</w:t>
            </w:r>
          </w:p>
        </w:tc>
        <w:tc>
          <w:tcPr>
            <w:tcW w:type="dxa" w:w="1310"/>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6"/>
                <w:szCs w:val="16"/>
              </w:rPr>
              <w:t xml:space="preserve">Año 5</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6"/>
                <w:szCs w:val="16"/>
              </w:rPr>
              <w:t xml:space="preserve">Ingresos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$29.925.000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$109.345.950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$244.143.113</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$422.631.523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$618.358.417</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6"/>
                <w:szCs w:val="16"/>
              </w:rPr>
              <w:t xml:space="preserve">(−) Costos de operación</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−$4.475.250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−$9.346.004</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−$20.372.887</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−$34.119.282</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−$47.522.883</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6"/>
                <w:szCs w:val="16"/>
              </w:rPr>
              <w:t xml:space="preserve">(−) Gastos operativos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−$14.795.040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−$25.882.225</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−$246.916.899</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−$309.899.000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−$382.281.621</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6"/>
                <w:szCs w:val="16"/>
              </w:rPr>
              <w:t xml:space="preserve">Resultado operativo</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$10.654.710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$74.117.721</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−$23.146.673</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$78.613.241</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$188.553.913</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6"/>
                <w:szCs w:val="16"/>
              </w:rPr>
              <w:t xml:space="preserve">(−) Impuesto de renta (35 %)</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−$3.729.149</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−$25.941.202</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−$19.413.299</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−$65.993.870</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6"/>
                <w:szCs w:val="16"/>
              </w:rPr>
              <w:t xml:space="preserve">Utilidad neta</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$6.925.562</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$48.176.519</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−$23.146.673</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$59.199.943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$122.560.043</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6"/>
                <w:szCs w:val="16"/>
              </w:rPr>
              <w:t xml:space="preserve">Inversión inicial</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−$1.500.000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6"/>
                <w:szCs w:val="16"/>
              </w:rPr>
              <w:t xml:space="preserve">Flujo de caja neto</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−$1.500.000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$6.925.562</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$48.176.519</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−$23.146.673</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$59.199.943</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$122.560.043</w:t>
            </w:r>
          </w:p>
        </w:tc>
      </w:tr>
      <w:tr>
        <w:trPr>
          <w:cantSplit/>
        </w:trPr>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6"/>
                <w:szCs w:val="16"/>
              </w:rPr>
              <w:t xml:space="preserve">Flujo de caja acumulado</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6"/>
                <w:szCs w:val="16"/>
              </w:rPr>
              <w:t xml:space="preserve">−$1.500.000</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$5.425.562</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$53.602.081</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$30.455.407</w:t>
            </w:r>
          </w:p>
        </w:tc>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$89.655.350</w:t>
            </w:r>
          </w:p>
        </w:tc>
        <w:tc>
          <w:tcPr>
            <w:tcW w:type="dxa" w:w="131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6"/>
                <w:szCs w:val="16"/>
              </w:rPr>
              <w:t xml:space="preserve">$212.215.393</w:t>
            </w:r>
          </w:p>
        </w:tc>
      </w:tr>
    </w:tbl>
    <w:p>
      <w:pPr>
        <w:spacing w:after="120"/>
      </w:pPr>
    </w:p>
    <w:p>
      <w:pPr>
        <w:spacing w:after="120" w:line="300"/>
        <w:jc w:val="both"/>
      </w:pPr>
      <w:r>
        <w:rPr>
          <w:rFonts w:ascii="Times New Roman" w:cs="Times New Roman" w:eastAsia="Times New Roman" w:hAnsi="Times New Roman"/>
          <w:b/>
          <w:bCs/>
          <w:sz w:val="24"/>
          <w:szCs w:val="24"/>
        </w:rPr>
        <w:t xml:space="preserve">Análisis:</w:t>
      </w:r>
      <w:r>
        <w:rPr>
          <w:rFonts w:ascii="Times New Roman" w:cs="Times New Roman" w:eastAsia="Times New Roman" w:hAnsi="Times New Roman"/>
          <w:sz w:val="24"/>
          <w:szCs w:val="24"/>
        </w:rPr>
        <w:t xml:space="preserve"> mientras los fundadores trabajan sin salario (años 1 y 2), la operación genera utilidad desde el mes 5 porque sus costos son muy bajos. En el año 3 los fundadores empiezan a cobrar y el resultado cae a −$23,1 millones, cubierto con la caja acumulada de los años anteriores. Desde el año 4 el negocio vuelve a ser rentable. El impuesto de renta aplica la compensación de pérdidas de años anteriores.</w:t>
      </w:r>
    </w:p>
    <w:p>
      <w:pPr>
        <w:spacing w:after="120" w:line="300"/>
        <w:jc w:val="both"/>
      </w:pPr>
      <w:r>
        <w:rPr>
          <w:rFonts w:ascii="Times New Roman" w:cs="Times New Roman" w:eastAsia="Times New Roman" w:hAnsi="Times New Roman"/>
          <w:b/>
          <w:bCs/>
          <w:sz w:val="24"/>
          <w:szCs w:val="24"/>
        </w:rPr>
        <w:t xml:space="preserve">Punto de equilibrio:</w:t>
      </w:r>
      <w:r>
        <w:rPr>
          <w:rFonts w:ascii="Times New Roman" w:cs="Times New Roman" w:eastAsia="Times New Roman" w:hAnsi="Times New Roman"/>
          <w:sz w:val="24"/>
          <w:szCs w:val="24"/>
        </w:rPr>
        <w:t xml:space="preserve"> con la estructura de costos del año 3 (fundadores con salario y un colaborador) se requieren en promedio 510 clientes activos; en el año 5, 718.</w:t>
      </w:r>
    </w:p>
    <w:p>
      <w:pPr>
        <w:keepNext/>
        <w:spacing w:after="100" w:before="200"/>
      </w:pPr>
      <w:r>
        <w:rPr>
          <w:rFonts w:ascii="Times New Roman" w:cs="Times New Roman" w:eastAsia="Times New Roman" w:hAnsi="Times New Roman"/>
          <w:b/>
          <w:bCs/>
          <w:sz w:val="24"/>
          <w:szCs w:val="24"/>
        </w:rPr>
        <w:t xml:space="preserve">17.5. Inversión Inicial y Capital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1498"/>
        <w:gridCol w:w="3369"/>
      </w:tblGrid>
      <w:tr>
        <w:trPr>
          <w:tblHeader/>
        </w:trPr>
        <w:tc>
          <w:tcPr>
            <w:tcW w:type="dxa" w:w="280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Concepto</w:t>
            </w:r>
          </w:p>
        </w:tc>
        <w:tc>
          <w:tcPr>
            <w:tcW w:type="dxa" w:w="168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Tipo</w:t>
            </w:r>
          </w:p>
        </w:tc>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COP</w:t>
            </w:r>
          </w:p>
        </w:tc>
        <w:tc>
          <w:tcPr>
            <w:tcW w:type="dxa" w:w="336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Base de cálculo</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Gastos preoperativos (constitución, registros, dominio)</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Inversión inicial</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$500.000</w:t>
            </w:r>
          </w:p>
        </w:tc>
        <w:tc>
          <w:tcPr>
            <w:tcW w:type="dxa" w:w="33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Sección 12.2</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Marketing inicial (landing page)</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Inversión inicial</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$1.000.000</w:t>
            </w:r>
          </w:p>
        </w:tc>
        <w:tc>
          <w:tcPr>
            <w:tcW w:type="dxa" w:w="33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Sección 12.2</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Subtotal inversión inicial</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$1.500.000</w:t>
            </w:r>
          </w:p>
        </w:tc>
        <w:tc>
          <w:tcPr>
            <w:tcW w:type="dxa" w:w="33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Capital de trabajo</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Capital de trabajo</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$1.991.569</w:t>
            </w:r>
          </w:p>
        </w:tc>
        <w:tc>
          <w:tcPr>
            <w:tcW w:type="dxa" w:w="33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Necesidad máxima de caja ($3.491.569 en el mes 4) menos la inversión inicial</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Total financiación requerida</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$3.491.569</w:t>
            </w:r>
          </w:p>
        </w:tc>
        <w:tc>
          <w:tcPr>
            <w:tcW w:type="dxa" w:w="33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Punto más bajo de la caja acumulada (mes 4)</w:t>
            </w:r>
          </w:p>
        </w:tc>
      </w:tr>
      <w:tr>
        <w:trPr>
          <w:cantSplit/>
        </w:trPr>
        <w:tc>
          <w:tcPr>
            <w:tcW w:type="dxa" w:w="280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Aporte en especie de los fundadores (memo)</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Contrapartida</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$205.962.954</w:t>
            </w:r>
          </w:p>
        </w:tc>
        <w:tc>
          <w:tcPr>
            <w:tcW w:type="dxa" w:w="33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Trabajo no remunerado de los años 1 y 2 a costo de mercado; no es salida de caja</w:t>
            </w:r>
          </w:p>
        </w:tc>
      </w:tr>
    </w:tbl>
    <w:p>
      <w:pPr>
        <w:spacing w:after="120"/>
      </w:pPr>
    </w:p>
    <w:p>
      <w:pPr>
        <w:keepNext/>
        <w:spacing w:after="100" w:before="200"/>
      </w:pPr>
      <w:r>
        <w:rPr>
          <w:rFonts w:ascii="Times New Roman" w:cs="Times New Roman" w:eastAsia="Times New Roman" w:hAnsi="Times New Roman"/>
          <w:b/>
          <w:bCs/>
          <w:sz w:val="24"/>
          <w:szCs w:val="24"/>
        </w:rPr>
        <w:t xml:space="preserve">17.6. Resumen de Fuentes de Financiación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5"/>
        <w:gridCol w:w="1498"/>
        <w:gridCol w:w="936"/>
        <w:gridCol w:w="2995"/>
      </w:tblGrid>
      <w:tr>
        <w:trPr>
          <w:tblHeader/>
        </w:trPr>
        <w:tc>
          <w:tcPr>
            <w:tcW w:type="dxa" w:w="224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Fuente</w:t>
            </w:r>
          </w:p>
        </w:tc>
        <w:tc>
          <w:tcPr>
            <w:tcW w:type="dxa" w:w="168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Tipo</w:t>
            </w:r>
          </w:p>
        </w:tc>
        <w:tc>
          <w:tcPr>
            <w:tcW w:type="dxa" w:w="149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Monto (COP)</w:t>
            </w:r>
          </w:p>
        </w:tc>
        <w:tc>
          <w:tcPr>
            <w:tcW w:type="dxa" w:w="93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w:t>
            </w:r>
          </w:p>
        </w:tc>
        <w:tc>
          <w:tcPr>
            <w:tcW w:type="dxa" w:w="299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Justificación</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Recursos propios (fundadores)</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Aporte de capital</w:t>
            </w: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$4.000.000</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100 %</w:t>
            </w:r>
          </w:p>
        </w:tc>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Cubre la inversión inicial y el capital de trabajo con un margen de $508.431</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Total</w:t>
            </w:r>
          </w:p>
        </w:tc>
        <w:tc>
          <w:tcPr>
            <w:tcW w:type="dxa" w:w="168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p>
        </w:tc>
        <w:tc>
          <w:tcPr>
            <w:tcW w:type="dxa" w:w="14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$4.000.000</w:t>
            </w:r>
          </w:p>
        </w:tc>
        <w:tc>
          <w:tcPr>
            <w:tcW w:type="dxa" w:w="93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100 %</w:t>
            </w:r>
          </w:p>
        </w:tc>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p>
        </w:tc>
      </w:tr>
    </w:tbl>
    <w:p>
      <w:pPr>
        <w:spacing w:after="120"/>
      </w:pPr>
    </w:p>
    <w:p>
      <w:pPr>
        <w:spacing w:after="120" w:line="300"/>
        <w:jc w:val="both"/>
      </w:pPr>
      <w:r>
        <w:rPr>
          <w:rFonts w:ascii="Times New Roman" w:cs="Times New Roman" w:eastAsia="Times New Roman" w:hAnsi="Times New Roman"/>
          <w:sz w:val="24"/>
          <w:szCs w:val="24"/>
        </w:rPr>
        <w:t xml:space="preserve">Con la estructura de equipo propuesta, el proyecto no necesita financiación externa para arrancar. El Fondo Emprender se contempla como fuente opcional para </w:t>
      </w:r>
      <w:r>
        <w:rPr>
          <w:rFonts w:ascii="Times New Roman" w:cs="Times New Roman" w:eastAsia="Times New Roman" w:hAnsi="Times New Roman"/>
          <w:b/>
          <w:bCs/>
          <w:sz w:val="24"/>
          <w:szCs w:val="24"/>
        </w:rPr>
        <w:t xml:space="preserve">acelerar</w:t>
      </w:r>
      <w:r>
        <w:rPr>
          <w:rFonts w:ascii="Times New Roman" w:cs="Times New Roman" w:eastAsia="Times New Roman" w:hAnsi="Times New Roman"/>
          <w:sz w:val="24"/>
          <w:szCs w:val="24"/>
        </w:rPr>
        <w:t xml:space="preserve"> el crecimiento, por ejemplo para vincular el primer colaborador antes del mes 31, y no como condición para operar.</w:t>
      </w:r>
    </w:p>
    <w:p>
      <w:pPr>
        <w:keepNext/>
        <w:spacing w:after="100" w:before="200"/>
      </w:pPr>
      <w:r>
        <w:rPr>
          <w:rFonts w:ascii="Times New Roman" w:cs="Times New Roman" w:eastAsia="Times New Roman" w:hAnsi="Times New Roman"/>
          <w:b/>
          <w:bCs/>
          <w:sz w:val="24"/>
          <w:szCs w:val="24"/>
        </w:rPr>
        <w:t xml:space="preserve">17.7. Indicadores Financieros y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Indicador</w:t>
            </w:r>
          </w:p>
        </w:tc>
        <w:tc>
          <w:tcPr>
            <w:tcW w:type="dxa" w:w="1872"/>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Pesimista</w:t>
            </w:r>
          </w:p>
        </w:tc>
        <w:tc>
          <w:tcPr>
            <w:tcW w:type="dxa" w:w="1872"/>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Base</w:t>
            </w:r>
          </w:p>
        </w:tc>
        <w:tc>
          <w:tcPr>
            <w:tcW w:type="dxa" w:w="1872"/>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Optimista</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Clientes activos al cierre del año 5</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600</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1.200</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1.600</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Abandono mensual</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5 %</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3 %</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2 %</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Ingresos año 5</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$309.179.209</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$618.358.417</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$824.477.889</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Utilidad neta año 5</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−$18.486.027</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$122.560.043</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$224.978.978</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VPN a una TIO del 20 %</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$847.960</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$102.135.639</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$206.635.498</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Necesidad máxima de caja</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$5.549.805</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$3.491.569</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$2.854.692</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en que los fundadores empiezan a cobrar</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37</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25</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25</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Trabajo no remunerado de los fundadores</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$382.331.231</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$205.962.954</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$205.962.954</w:t>
            </w:r>
          </w:p>
        </w:tc>
      </w:tr>
      <w:tr>
        <w:trPr>
          <w:cantSplit/>
        </w:trPr>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Personas en el equipo al año 5</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4</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6</w:t>
            </w:r>
          </w:p>
        </w:tc>
        <w:tc>
          <w:tcPr>
            <w:tcW w:type="dxa" w:w="187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7</w:t>
            </w:r>
          </w:p>
        </w:tc>
      </w:tr>
    </w:tbl>
    <w:p>
      <w:pPr>
        <w:spacing w:after="120"/>
      </w:pPr>
    </w:p>
    <w:p>
      <w:pPr>
        <w:spacing w:after="120" w:line="300"/>
        <w:jc w:val="both"/>
      </w:pPr>
      <w:r>
        <w:rPr>
          <w:rFonts w:ascii="Times New Roman" w:cs="Times New Roman" w:eastAsia="Times New Roman" w:hAnsi="Times New Roman"/>
          <w:b/>
          <w:bCs/>
          <w:sz w:val="24"/>
          <w:szCs w:val="24"/>
        </w:rPr>
        <w:t xml:space="preserve">Interpretación:</w:t>
      </w:r>
      <w:r>
        <w:rPr>
          <w:rFonts w:ascii="Times New Roman" w:cs="Times New Roman" w:eastAsia="Times New Roman" w:hAnsi="Times New Roman"/>
          <w:sz w:val="24"/>
          <w:szCs w:val="24"/>
        </w:rPr>
        <w:t xml:space="preserve"> en los tres escenarios el proyecto requiere poca caja porque el equipo crece con la demanda. La variable que decide la viabilidad es la adopción: en el escenario pesimista el negocio apenas se sostiene (su VPN es cercano a cero) y los fundadores no pueden cobrar salario hasta el año 4. La TIR no se reporta como indicador principal porque la inversión en efectivo es muy pequeña ($1,5 millones) frente al aporte real, que es el trabajo no remunerado de los fundadores; por eso se evalúa con el VPN y la necesidad de caja.</w:t>
      </w: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Reemplaza la tabla 18.2 completa.</w:t>
      </w:r>
    </w:p>
    <w:p>
      <w:pPr>
        <w:keepNext/>
        <w:spacing w:after="100" w:before="200"/>
      </w:pPr>
      <w:r>
        <w:rPr>
          <w:rFonts w:ascii="Times New Roman" w:cs="Times New Roman" w:eastAsia="Times New Roman" w:hAnsi="Times New Roman"/>
          <w:b/>
          <w:bCs/>
          <w:sz w:val="24"/>
          <w:szCs w:val="24"/>
        </w:rPr>
        <w:t xml:space="preserve">18.2. Matriz de Riesgos y Planes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2059"/>
        <w:gridCol w:w="1123"/>
        <w:gridCol w:w="1123"/>
        <w:gridCol w:w="3838"/>
      </w:tblGrid>
      <w:tr>
        <w:trPr>
          <w:tblHeader/>
        </w:trPr>
        <w:tc>
          <w:tcPr>
            <w:tcW w:type="dxa" w:w="1217"/>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Variable</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Riesgo</w:t>
            </w:r>
          </w:p>
        </w:tc>
        <w:tc>
          <w:tcPr>
            <w:tcW w:type="dxa" w:w="1123"/>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Probabilidad</w:t>
            </w:r>
          </w:p>
        </w:tc>
        <w:tc>
          <w:tcPr>
            <w:tcW w:type="dxa" w:w="1123"/>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Impacto</w:t>
            </w:r>
          </w:p>
        </w:tc>
        <w:tc>
          <w:tcPr>
            <w:tcW w:type="dxa" w:w="3838"/>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Plan de mitigación</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Comercial</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Baja adopción: los tenderos no incorporan el sistema a su rutina</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Alta (4/5)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Alto (5/5)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Prueba de usabilidad antes del lanzamiento; modo básico con 4 acciones; incorporación asistida (el equipo carga el catálogo); medición de la activación en la prueba gratuita; contratación solo cuando la carga lo exija</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Comercial</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Competidor con capital incorpora predicción y alertas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Media (3/5)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Medio (3/5)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Mejora continua basada en el piloto; el bucle de aprendizaje mejora con el uso; registro de marca</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Técnico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Fallo crítico del sistema o pérdida de datos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Media (3/5)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Alto (5/5)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Respaldos automáticos de PostgreSQL (pg_dump programado o respaldos de Neon verificados), monitoreo, pruebas automatizadas y protocolo de respuesta en menos de 4 horas</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Técnico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API de OpenAI no disponible</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Media (3/5)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Alto (4/5)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Caché, modo sin IA con cálculos matemáticos (velocidad, punto de reorden, alertas) y evaluación de proveedores alternativos</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Financiero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Los fundadores necesitan ingresos antes del mes 25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Media (3/5)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Alto (4/5)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Buscar financiación del Fondo Emprender para adelantar salarios; hitos de clientes para decidir</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Talento humano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Sobrecarga o salida de un fundador</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Media (3/5)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Alto (4/5)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Documentación del código, reparto de roles, regla de contratación por carga de trabajo y participación accionaria</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Normativo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Incumplimiento de protección de datos (Ley 1581) o cambios tributarios (IVA)</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Baja (2/5)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Medio (3/5)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Política de tratamiento de datos publicada antes de recibir datos reales; confirmación del tratamiento de IVA con el contador</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Medio ambiente</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Consumo energético de la infraestructura y de las consultas a la IA</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Baja (2/5)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Bajo (2/5)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Caché de respuestas de la IA, proveedores en la nube con pago por uso y apagado de recursos inactivos</w:t>
            </w:r>
          </w:p>
        </w:tc>
      </w:tr>
      <w:tr>
        <w:trPr>
          <w:cantSplit/>
        </w:trPr>
        <w:tc>
          <w:tcPr>
            <w:tcW w:type="dxa" w:w="12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Otros (tecnológico)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Obsolescencia de dependencias</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Baja (2/5)</w:t>
            </w:r>
          </w:p>
        </w:tc>
        <w:tc>
          <w:tcPr>
            <w:tcW w:type="dxa" w:w="1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Medio (3/5)</w:t>
            </w:r>
          </w:p>
        </w:tc>
        <w:tc>
          <w:tcPr>
            <w:tcW w:type="dxa" w:w="383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Actualización periódica de dependencias y código modular</w:t>
            </w:r>
          </w:p>
        </w:tc>
      </w:tr>
    </w:tbl>
    <w:p>
      <w:pPr>
        <w:spacing w:after="120"/>
      </w:pPr>
    </w:p>
    <w:p>
      <w:r>
        <w:br w:type="page"/>
      </w:r>
    </w:p>
    <w:p>
      <w:pPr>
        <w:pBdr>
          <w:left w:val="single" w:color="C55A11" w:sz="18" w:space="6"/>
        </w:pBdr>
        <w:shd w:fill="FCE4D6" w:color="auto" w:val="clear"/>
        <w:spacing w:after="160" w:before="120"/>
      </w:pPr>
      <w:r>
        <w:rPr>
          <w:rFonts w:ascii="Times New Roman" w:cs="Times New Roman" w:eastAsia="Times New Roman" w:hAnsi="Times New Roman"/>
          <w:b/>
          <w:bCs/>
          <w:color w:val="C55A11"/>
          <w:sz w:val="20"/>
          <w:szCs w:val="20"/>
        </w:rPr>
        <w:t xml:space="preserve">INSTRUCCIÓN (no copiar): </w:t>
      </w:r>
      <w:r>
        <w:rPr>
          <w:rFonts w:ascii="Times New Roman" w:cs="Times New Roman" w:eastAsia="Times New Roman" w:hAnsi="Times New Roman"/>
          <w:color w:val="833C0B"/>
          <w:sz w:val="20"/>
          <w:szCs w:val="20"/>
        </w:rPr>
        <w:t xml:space="preserve">En el Módulo VII reemplace las tablas "Metas (Primer Año)", "Inversión Total Requerida", "Detalle del capital de trabajo", "Fuentes de financiación" e "Indicadores Financieros Clave", y los puntos "Mercado validado", "Riesgo de financiación" y "Supuesto de no salario a fundadores".</w:t>
      </w:r>
    </w:p>
    <w:p>
      <w:pPr>
        <w:keepNext/>
        <w:spacing w:after="100" w:before="200"/>
      </w:pPr>
      <w:r>
        <w:rPr>
          <w:rFonts w:ascii="Times New Roman" w:cs="Times New Roman" w:eastAsia="Times New Roman" w:hAnsi="Times New Roman"/>
          <w:b/>
          <w:bCs/>
          <w:sz w:val="24"/>
          <w:szCs w:val="24"/>
        </w:rPr>
        <w:t xml:space="preserve">Metas (Primer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tblHeader/>
        </w:trPr>
        <w:tc>
          <w:tcPr>
            <w:tcW w:type="dxa" w:w="224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Indicador</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Meta (Año 1)</w:t>
            </w:r>
          </w:p>
        </w:tc>
        <w:tc>
          <w:tcPr>
            <w:tcW w:type="dxa" w:w="505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Justificación</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Empleos directos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0 (primer empleo en el mes 31)</w:t>
            </w:r>
          </w:p>
        </w:tc>
        <w:tc>
          <w:tcPr>
            <w:tcW w:type="dxa" w:w="50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Los fundadores operan solos mientras la carga de trabajo lo permite</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Ventas (ingresos acumulados)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COP 29.925.000</w:t>
            </w:r>
          </w:p>
        </w:tc>
        <w:tc>
          <w:tcPr>
            <w:tcW w:type="dxa" w:w="50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120 clientes activos al mes 12 a $39.900/mes</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Clientes activos (fin de año)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120</w:t>
            </w:r>
          </w:p>
        </w:tc>
        <w:tc>
          <w:tcPr>
            <w:tcW w:type="dxa" w:w="50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139 clientes nuevos y 19 retirados (abandono del 3 % mensual)</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Mercadeo (eventos)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4 eventos</w:t>
            </w:r>
          </w:p>
        </w:tc>
        <w:tc>
          <w:tcPr>
            <w:tcW w:type="dxa" w:w="50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Ferias de emprendimiento y retail en Bogotá</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Contrapartida (aporte en especie)</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COP 80.000.000</w:t>
            </w:r>
          </w:p>
        </w:tc>
        <w:tc>
          <w:tcPr>
            <w:tcW w:type="dxa" w:w="50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Trabajo no remunerado de los fundadores en el año 1 (los equipos son propios; su reposición se cubre con una reserva)</w:t>
            </w:r>
          </w:p>
        </w:tc>
      </w:tr>
      <w:tr>
        <w:trPr>
          <w:cantSplit/>
        </w:trPr>
        <w:tc>
          <w:tcPr>
            <w:tcW w:type="dxa" w:w="22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Empleos indirectos</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w:t>
            </w:r>
          </w:p>
        </w:tc>
        <w:tc>
          <w:tcPr>
            <w:tcW w:type="dxa" w:w="505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Asesoría legal y contable externa</w:t>
            </w:r>
          </w:p>
        </w:tc>
      </w:tr>
    </w:tbl>
    <w:p>
      <w:pPr>
        <w:spacing w:after="120"/>
      </w:pPr>
    </w:p>
    <w:p>
      <w:pPr>
        <w:keepNext/>
        <w:spacing w:after="100" w:before="200"/>
      </w:pPr>
      <w:r>
        <w:rPr>
          <w:rFonts w:ascii="Times New Roman" w:cs="Times New Roman" w:eastAsia="Times New Roman" w:hAnsi="Times New Roman"/>
          <w:b/>
          <w:bCs/>
          <w:sz w:val="24"/>
          <w:szCs w:val="24"/>
        </w:rPr>
        <w:t xml:space="preserve">Inversión y financiación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Concepto</w:t>
            </w:r>
          </w:p>
        </w:tc>
        <w:tc>
          <w:tcPr>
            <w:tcW w:type="dxa" w:w="3744"/>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Monto (COP)</w:t>
            </w:r>
          </w:p>
        </w:tc>
      </w:tr>
      <w:tr>
        <w:trPr>
          <w:cantSplit/>
        </w:trPr>
        <w:tc>
          <w:tcPr>
            <w:tcW w:type="dxa" w:w="561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Inversión inicial (preoperativos y landing page)</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$1.500.000</w:t>
            </w:r>
          </w:p>
        </w:tc>
      </w:tr>
      <w:tr>
        <w:trPr>
          <w:cantSplit/>
        </w:trPr>
        <w:tc>
          <w:tcPr>
            <w:tcW w:type="dxa" w:w="561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Capital de trabajo</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$1.991.569</w:t>
            </w:r>
          </w:p>
        </w:tc>
      </w:tr>
      <w:tr>
        <w:trPr>
          <w:cantSplit/>
        </w:trPr>
        <w:tc>
          <w:tcPr>
            <w:tcW w:type="dxa" w:w="561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bCs/>
                <w:sz w:val="19"/>
                <w:szCs w:val="19"/>
              </w:rPr>
              <w:t xml:space="preserve">Financiación requerida (necesidad máxima de caja)</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bCs/>
                <w:sz w:val="19"/>
                <w:szCs w:val="19"/>
              </w:rPr>
              <w:t xml:space="preserve">$3.491.569</w:t>
            </w:r>
          </w:p>
        </w:tc>
      </w:tr>
      <w:tr>
        <w:trPr>
          <w:cantSplit/>
        </w:trPr>
        <w:tc>
          <w:tcPr>
            <w:tcW w:type="dxa" w:w="561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Recursos propios de los fundadores</w:t>
            </w:r>
          </w:p>
        </w:tc>
        <w:tc>
          <w:tcPr>
            <w:tcW w:type="dxa" w:w="374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right"/>
            </w:pPr>
            <w:r>
              <w:rPr>
                <w:rFonts w:ascii="Times New Roman" w:cs="Times New Roman" w:eastAsia="Times New Roman" w:hAnsi="Times New Roman"/>
                <w:b w:val="false"/>
                <w:bCs w:val="false"/>
                <w:sz w:val="19"/>
                <w:szCs w:val="19"/>
              </w:rPr>
              <w:t xml:space="preserve">$4.000.000 (100 %)</w:t>
            </w:r>
          </w:p>
        </w:tc>
      </w:tr>
    </w:tbl>
    <w:p>
      <w:pPr>
        <w:spacing w:after="120"/>
      </w:pPr>
    </w:p>
    <w:p>
      <w:pPr>
        <w:keepNext/>
        <w:spacing w:after="100" w:before="200"/>
      </w:pPr>
      <w:r>
        <w:rPr>
          <w:rFonts w:ascii="Times New Roman" w:cs="Times New Roman" w:eastAsia="Times New Roman" w:hAnsi="Times New Roman"/>
          <w:b/>
          <w:bCs/>
          <w:sz w:val="24"/>
          <w:szCs w:val="24"/>
        </w:rPr>
        <w:t xml:space="preserve">Indicadores Financieros Clave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059"/>
        <w:gridCol w:w="4306"/>
      </w:tblGrid>
      <w:tr>
        <w:trPr>
          <w:tblHeader/>
        </w:trPr>
        <w:tc>
          <w:tcPr>
            <w:tcW w:type="dxa" w:w="2995"/>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Indicador</w:t>
            </w:r>
          </w:p>
        </w:tc>
        <w:tc>
          <w:tcPr>
            <w:tcW w:type="dxa" w:w="2059"/>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Valor</w:t>
            </w:r>
          </w:p>
        </w:tc>
        <w:tc>
          <w:tcPr>
            <w:tcW w:type="dxa" w:w="4306"/>
            <w:tcBorders>
              <w:top w:val="single" w:color="8C8C8C" w:sz="4"/>
              <w:left w:val="single" w:color="8C8C8C" w:sz="4"/>
              <w:bottom w:val="single" w:color="8C8C8C" w:sz="4"/>
              <w:right w:val="single" w:color="8C8C8C" w:sz="4"/>
            </w:tcBorders>
            <w:shd w:fill="D9E2F1" w:color="auto" w:val="clear"/>
            <w:tcMar>
              <w:top w:type="dxa" w:w="50"/>
              <w:left w:type="dxa" w:w="80"/>
              <w:bottom w:type="dxa" w:w="50"/>
              <w:right w:type="dxa" w:w="80"/>
            </w:tcMar>
            <w:vAlign w:val="center"/>
          </w:tcPr>
          <w:p>
            <w:pPr>
              <w:spacing w:after="30" w:line="250"/>
              <w:jc w:val="center"/>
            </w:pPr>
            <w:r>
              <w:rPr>
                <w:rFonts w:ascii="Times New Roman" w:cs="Times New Roman" w:eastAsia="Times New Roman" w:hAnsi="Times New Roman"/>
                <w:b/>
                <w:bCs/>
                <w:sz w:val="19"/>
                <w:szCs w:val="19"/>
              </w:rPr>
              <w:t xml:space="preserve">Cálculo</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Ingresos año 1 / año 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$29.925.000 / $618.358.417</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Sección 17.1</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Margen bruto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85 % (año 1) a 92 % (año 5)</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Ingresos menos costos de operación del servicio</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Utilidad neta año 1 / año 3 / año 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$6.925.562 / −$23.146.673 / $122.560.043</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El año 3 es negativo porque los fundadores empiezan a cobrar</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Flujo de caja acumulado al año 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$212.215.393</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Sección 17.4</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VPN (TIO 20 %)</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$102.135.639</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Pesimista: $847.960; optimista: $206.635.498</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Punto de equilibrio</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510 clientes (año 3)</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Con fundadores y un colaborador en nómina</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Primer colaborador</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Mes 31</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Regla de contratación por carga de trabajo (15.2)</w:t>
            </w:r>
          </w:p>
        </w:tc>
      </w:tr>
      <w:tr>
        <w:trPr>
          <w:cantSplit/>
        </w:trPr>
        <w:tc>
          <w:tcPr>
            <w:tcW w:type="dxa" w:w="299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Equipo al año 5</w:t>
            </w:r>
          </w:p>
        </w:tc>
        <w:tc>
          <w:tcPr>
            <w:tcW w:type="dxa" w:w="205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6 personas</w:t>
            </w:r>
          </w:p>
        </w:tc>
        <w:tc>
          <w:tcPr>
            <w:tcW w:type="dxa" w:w="430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30" w:line="250"/>
              <w:jc w:val="left"/>
            </w:pPr>
            <w:r>
              <w:rPr>
                <w:rFonts w:ascii="Times New Roman" w:cs="Times New Roman" w:eastAsia="Times New Roman" w:hAnsi="Times New Roman"/>
                <w:b w:val="false"/>
                <w:bCs w:val="false"/>
                <w:sz w:val="19"/>
                <w:szCs w:val="19"/>
              </w:rPr>
              <w:t xml:space="preserve">3 fundadores + 3 colaboradores</w:t>
            </w:r>
          </w:p>
        </w:tc>
      </w:tr>
    </w:tbl>
    <w:p>
      <w:pPr>
        <w:spacing w:after="120"/>
      </w:pPr>
    </w:p>
    <w:p>
      <w:pPr>
        <w:keepNext/>
        <w:spacing w:after="100" w:before="200"/>
      </w:pPr>
      <w:r>
        <w:rPr>
          <w:rFonts w:ascii="Times New Roman" w:cs="Times New Roman" w:eastAsia="Times New Roman" w:hAnsi="Times New Roman"/>
          <w:b/>
          <w:bCs/>
          <w:sz w:val="24"/>
          <w:szCs w:val="24"/>
        </w:rPr>
        <w:t xml:space="preserve">Puntos que reemplazan a los actuales:</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Mercado validado:</w:t>
      </w:r>
      <w:r>
        <w:rPr>
          <w:rFonts w:ascii="Times New Roman" w:cs="Times New Roman" w:eastAsia="Times New Roman" w:hAnsi="Times New Roman"/>
          <w:sz w:val="24"/>
          <w:szCs w:val="24"/>
        </w:rPr>
        <w:t xml:space="preserve"> encuesta a 15 negocios de Bogotá que confirma la gestión manual (73 %), los errores de registro como principal dificultad (53 %) y el interés en registro automatizado (80 %) y alertas (53 %). La adopción y la disposición a pagar se validarán con la prueba de usabilidad y el piloto.</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Riesgo de adopción:</w:t>
      </w:r>
      <w:r>
        <w:rPr>
          <w:rFonts w:ascii="Times New Roman" w:cs="Times New Roman" w:eastAsia="Times New Roman" w:hAnsi="Times New Roman"/>
          <w:sz w:val="24"/>
          <w:szCs w:val="24"/>
        </w:rPr>
        <w:t xml:space="preserve"> el 80 % de los tenderos dice no tener tiempo para aprender una herramienta nueva. Por eso el producto incluirá un modo básico y la incorporación será asistida.</w:t>
      </w:r>
    </w:p>
    <w:p>
      <w:pPr>
        <w:pStyle w:val="ListParagraph"/>
        <w:numPr>
          <w:ilvl w:val="0"/>
          <w:numId w:val="2"/>
        </w:numPr>
        <w:spacing w:after="60" w:line="300"/>
        <w:jc w:val="both"/>
      </w:pPr>
      <w:r>
        <w:rPr>
          <w:rFonts w:ascii="Times New Roman" w:cs="Times New Roman" w:eastAsia="Times New Roman" w:hAnsi="Times New Roman"/>
          <w:b/>
          <w:bCs/>
          <w:sz w:val="24"/>
          <w:szCs w:val="24"/>
        </w:rPr>
        <w:t xml:space="preserve">Supuesto de no salario a los fundadores:</w:t>
      </w:r>
      <w:r>
        <w:rPr>
          <w:rFonts w:ascii="Times New Roman" w:cs="Times New Roman" w:eastAsia="Times New Roman" w:hAnsi="Times New Roman"/>
          <w:sz w:val="24"/>
          <w:szCs w:val="24"/>
        </w:rPr>
        <w:t xml:space="preserve"> los fundadores trabajan sin salario los dos primeros años (aporte en especie de $205.962.954) y cobran desde el mes 25. Si necesitan ingresos antes, el proyecto requerirá financiación externa, como el Fondo Emprender.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StockPilot — Secciones corregidas</dc:title>
  <dc:creator>Equipo StockPilot</dc:creator>
  <cp:lastModifiedBy>Un-named</cp:lastModifiedBy>
  <cp:revision>1</cp:revision>
  <dcterms:created xsi:type="dcterms:W3CDTF">2026-09-26T01:43:46.070Z</dcterms:created>
  <dcterms:modified xsi:type="dcterms:W3CDTF">2026-09-26T01:43:46.070Z</dcterms:modified>
</cp:coreProperties>
</file>

<file path=docProps/custom.xml><?xml version="1.0" encoding="utf-8"?>
<Properties xmlns="http://schemas.openxmlformats.org/officeDocument/2006/custom-properties" xmlns:vt="http://schemas.openxmlformats.org/officeDocument/2006/docPropsVTypes"/>
</file>