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Revisión del Documento de Práctica de Ingeniería 5 (v2)</w:t>
      </w:r>
    </w:p>
    <w:p>
      <w:pPr>
        <w:spacing w:after="240"/>
        <w:jc w:val="center"/>
      </w:pPr>
      <w:r>
        <w:rPr>
          <w:rFonts w:ascii="Times New Roman" w:cs="Times New Roman" w:eastAsia="Times New Roman" w:hAnsi="Times New Roman"/>
          <w:i/>
          <w:iCs/>
          <w:sz w:val="20"/>
          <w:szCs w:val="20"/>
        </w:rPr>
        <w:t xml:space="preserve">Versión del 6 de octubre de 2026. Actualiza la revisión del 26 de septiembre contra el estado del proyecto al 6-oct-2026 (código, pruebas y decisiones del plan 23) e integra las correcciones sobre el alcance de la inteligencia artificial. Reemplaza al documento «Secciones corregidas sobre el alcance de la IA».</w:t>
      </w:r>
    </w:p>
    <w:p>
      <w:pPr>
        <w:pStyle w:val="Heading2"/>
        <w:spacing w:after="120" w:before="120"/>
      </w:pPr>
      <w:r>
        <w:rPr>
          <w:rFonts w:ascii="Times New Roman" w:cs="Times New Roman" w:eastAsia="Times New Roman" w:hAnsi="Times New Roman"/>
          <w:b/>
          <w:bCs/>
          <w:sz w:val="26"/>
          <w:szCs w:val="26"/>
        </w:rPr>
        <w:t xml:space="preserve">Resumen</w:t>
      </w:r>
    </w:p>
    <w:p>
      <w:pPr>
        <w:spacing w:after="120" w:line="300"/>
        <w:jc w:val="both"/>
      </w:pPr>
      <w:r>
        <w:rPr>
          <w:rFonts w:ascii="Times New Roman" w:cs="Times New Roman" w:eastAsia="Times New Roman" w:hAnsi="Times New Roman"/>
          <w:sz w:val="24"/>
          <w:szCs w:val="24"/>
        </w:rPr>
        <w:t xml:space="preserve">El documento está bien estructurado y el contenido técnico es sólido, pero conviene resolver siete temas, en este orden:</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1. La versión de Google Docs está atrasada respecto al .md del repositorio.</w:t>
      </w:r>
      <w:r>
        <w:rPr>
          <w:rFonts w:ascii="Times New Roman" w:cs="Times New Roman" w:eastAsia="Times New Roman" w:hAnsi="Times New Roman"/>
          <w:sz w:val="24"/>
          <w:szCs w:val="24"/>
        </w:rPr>
        <w:t xml:space="preserve"> Hay 12 párrafos que ya se corrigieron en el .md (despliegue en Render/Neon, Módulo 3 de Punto de Venta y Caja, stack de seguridad, recomendaciones y métricas) pero no se pasaron a Google Docs. Sección A, con las cifras de pruebas y de líneas de código actualizadas al 6-oct.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2. El título y el alcance</w:t>
      </w:r>
      <w:r>
        <w:rPr>
          <w:rFonts w:ascii="Times New Roman" w:cs="Times New Roman" w:eastAsia="Times New Roman" w:hAnsi="Times New Roman"/>
          <w:sz w:val="24"/>
          <w:szCs w:val="24"/>
        </w:rPr>
        <w:t xml:space="preserve"> deben alinearse con el nuevo nombre del proyecto. Sección B, con los textos de la introducción y del objetivo específico 3 ya reconciliados con el papel opcional de la IA.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3. Hay inconsistencias de contenido:</w:t>
      </w:r>
      <w:r>
        <w:rPr>
          <w:rFonts w:ascii="Times New Roman" w:cs="Times New Roman" w:eastAsia="Times New Roman" w:hAnsi="Times New Roman"/>
          <w:sz w:val="24"/>
          <w:szCs w:val="24"/>
        </w:rPr>
        <w:t xml:space="preserve"> equipo de «dos personas» con tres autores, funciones descritas que ya no existen, referencias a anexos equivocadas, un competidor liquidado en 2022 y el nombre del rol. Sección C (la C3 ya trae el texto de las reglas de alertas; la C8 se corrigió).</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4. Hay funciones que existen y no están descritas:</w:t>
      </w:r>
      <w:r>
        <w:rPr>
          <w:rFonts w:ascii="Times New Roman" w:cs="Times New Roman" w:eastAsia="Times New Roman" w:hAnsi="Times New Roman"/>
          <w:sz w:val="24"/>
          <w:szCs w:val="24"/>
        </w:rPr>
        <w:t xml:space="preserve"> cartera y fiados (Sección D) y todo lo que cambió desde el 26 de septiembre: modo básico, pedido guiado, recepción de mercancía, app móvil y seguridad (Sección I).</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5. Faltan los capítulos de la Práctica V</w:t>
      </w:r>
      <w:r>
        <w:rPr>
          <w:rFonts w:ascii="Times New Roman" w:cs="Times New Roman" w:eastAsia="Times New Roman" w:hAnsi="Times New Roman"/>
          <w:sz w:val="24"/>
          <w:szCs w:val="24"/>
        </w:rPr>
        <w:t xml:space="preserve"> (intervención, análisis de calidad y plan de negocio) y cerca de 28 fuentes citadas no están en las referencias. Secciones E y F.</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6. Forma y redacción.</w:t>
      </w:r>
      <w:r>
        <w:rPr>
          <w:rFonts w:ascii="Times New Roman" w:cs="Times New Roman" w:eastAsia="Times New Roman" w:hAnsi="Times New Roman"/>
          <w:sz w:val="24"/>
          <w:szCs w:val="24"/>
        </w:rPr>
        <w:t xml:space="preserve"> Sección 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7. NUEVO: el documento atribuye a la inteligencia artificial más de lo que hace.</w:t>
      </w:r>
      <w:r>
        <w:rPr>
          <w:rFonts w:ascii="Times New Roman" w:cs="Times New Roman" w:eastAsia="Times New Roman" w:hAnsi="Times New Roman"/>
          <w:sz w:val="24"/>
          <w:szCs w:val="24"/>
        </w:rPr>
        <w:t xml:space="preserve"> El motor matemático calcula las cantidades; la IA solo propone un ajuste acotado y redacta la justificación, y el «aprendizaje» es un factor estadístico que corrige el punto de reorden. Sección H, con los textos para pegar. Las correcciones a los documentos que se integran en los capítulos 13 a 17 están en la Sección J, y lo que queda por verificar, en la Sección K.</w:t>
      </w:r>
    </w:p>
    <w:p>
      <w:pPr>
        <w:spacing w:after="120" w:line="300"/>
        <w:jc w:val="both"/>
      </w:pPr>
      <w:r>
        <w:rPr>
          <w:rFonts w:ascii="Times New Roman" w:cs="Times New Roman" w:eastAsia="Times New Roman" w:hAnsi="Times New Roman"/>
          <w:sz w:val="24"/>
          <w:szCs w:val="24"/>
        </w:rPr>
        <w:t xml:space="preserve">Las tablas indican la sección, el problema y el texto o la acción para corregirlo. Donde hay texto para pegar, está completo. </w:t>
      </w:r>
      <w:r>
        <w:rPr>
          <w:rFonts w:ascii="Times New Roman" w:cs="Times New Roman" w:eastAsia="Times New Roman" w:hAnsi="Times New Roman"/>
          <w:b/>
          <w:bCs/>
          <w:sz w:val="24"/>
          <w:szCs w:val="24"/>
        </w:rPr>
        <w:t xml:space="preserve">Qué cambió respecto a la revisión del 26 de septiembre: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78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Qué cambió el 6 de octubre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Cifras de pruebas (149 → 287 unitarias y 407 de integración), líneas de código (26,5 → 28,2 KLOC sin pruebas), Módulo 3 ampliado (arqueo previo, método de pago), Recomendación 5 (el escáner de la web no está conectado a ninguna pantalla) y nota sobre las pruebas E2E.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Introducción y objetivo específico 3 con el asistente de IA opcional, para que no contradigan la Sección H.</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C3 cerrada con el texto de las reglas de alertas; C8 corregida (la interfaz dice «Colaborador»); C13 con el total actual; C14 nueva.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Sin cambios en la lista; el Módulo 16 aclara que la IA es opcional y que no recibe el nombre del cliente.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 y F</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Cifras de calidad actualizadas en E. La Sección F no cambia.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G</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Sin cambios.</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 I, J y K</w:t>
            </w:r>
          </w:p>
        </w:tc>
        <w:tc>
          <w:tcPr>
            <w:tcW w:type="dxa" w:w="7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Nuevas: lo que hace realmente la IA; lo que cambió desde el 26-sep; correcciones a los documentos que se integran; verificaciones pendientes.</w:t>
            </w:r>
          </w:p>
        </w:tc>
      </w:tr>
    </w:tbl>
    <w:p>
      <w:pPr>
        <w:spacing w:after="60"/>
      </w:pPr>
    </w:p>
    <w:p>
      <w:r>
        <w:br w:type="page"/>
      </w:r>
    </w:p>
    <w:p>
      <w:pPr>
        <w:pStyle w:val="Heading2"/>
        <w:spacing w:after="120" w:before="120"/>
      </w:pPr>
      <w:r>
        <w:rPr>
          <w:rFonts w:ascii="Times New Roman" w:cs="Times New Roman" w:eastAsia="Times New Roman" w:hAnsi="Times New Roman"/>
          <w:b/>
          <w:bCs/>
          <w:sz w:val="26"/>
          <w:szCs w:val="26"/>
        </w:rPr>
        <w:t xml:space="preserve">A. Párrafos que están actualizados en el .md pero no en Google Docs</w:t>
      </w:r>
    </w:p>
    <w:p>
      <w:pPr>
        <w:spacing w:after="120" w:line="300"/>
        <w:jc w:val="both"/>
      </w:pPr>
      <w:r>
        <w:rPr>
          <w:rFonts w:ascii="Times New Roman" w:cs="Times New Roman" w:eastAsia="Times New Roman" w:hAnsi="Times New Roman"/>
          <w:sz w:val="24"/>
          <w:szCs w:val="24"/>
        </w:rPr>
        <w:t xml:space="preserve">Estos cambios ya se hicieron en el archivo .md del repositorio (probablemente con Claude Code) y la versión de Google Docs conserva el texto antiguo. Copie el texto de la columna derecha. Cuatro filas incluyen una actualización de cifras o de contenido hecha el 6 de octubre de 2026 que el .md tampoco tiene (marcadas con ★): Módulo 3, Recomendación 5, líneas de código y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434"/>
        <w:gridCol w:w="5428"/>
      </w:tblGrid>
      <w:tr>
        <w:trPr>
          <w:tblHeader/>
        </w:trPr>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243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actual en Google Docs</w:t>
            </w:r>
          </w:p>
        </w:tc>
        <w:tc>
          <w:tcPr>
            <w:tcW w:type="dxa" w:w="542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correcto para pegar</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7.3 Marco Ambiental, «Impacto de la operación del sistema»</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«…PostgreSQL como motor relacional desplegado en Railway…»</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sistema es una aplicación web de bajo consumo energético. Al ejecutarse sobre Node.js con PostgreSQL como motor relacional desplegado en Render (con base de datos gestionada en Neon), aprovecha la modalidad de pago por uso de la nube, lo que minimiza el consumo energético en reposo. El sistema de caché implementado evita llamadas redundantes a la API de OpenAI, reduciendo la huella computacional de las consultas repetidas con los mismos datos de entrada.</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3 (título y texto) ★</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3 — Gestión de Ventas» con solo registro de ventas y Top Ventas</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3 — Gestión de Punto de Venta (POS) y Caja. Permite el registro de ventas en una interfaz optimizada (Caja Rápida) asociando productos, cantidades y precios unitarios, con descuento automático del inventario. Integra un sistema de Control de Caja que permite la apertura y cierre de sesiones de usuario (con validación de montos y cálculo de descuadres) y el registro de egresos de caja menor (con motivos, categorías y fotos de soporte) que requieren aprobación del administrador. Antes de cerrar la caja, el cajero puede ver el arqueo (lo esperado frente a lo contado) sin cerrarla; el arqueo y el historial de sesiones muestran lo vendido por método de pago (efectivo, tarjeta, transferencia y fiado), de modo que el administrador audita cada turno, y el historial de sesiones de caja es solo del Administrador. La apertura de caja es atómica: un vendedor no puede abrir dos sesiones a la vez. Cada venta puede llevar una clave de idempotencia para reintentarse sin duplicarse si falla la conexión. Muestra un ranking de los productos más vendidos (Top Ventas), un historial de ventas filtrable y auditorías completas de sesiones y flujo de caja (RF-012 a RF-015, RF-066 a RF-069). [Agregar al Anexo 7 los requerimientos del arqueo previo y del desglose por método de pago.]</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9.5 Stack, Base de datos</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«…desplegado en Railway.»</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Tecnología: PostgreSQL 15 (driver pg / node-postgres) — desplegado en Render, con base de datos gestionada en Neon.</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9.5 Stack (agregar después de «Comunicación»)</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existe</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Enrutamiento — Tecnología: React Router DOM 7. Justificación: navegación declarativa por rutas protegidas según el rol de usuario. Iconografía — Tecnología: lucide-react. Justificación: set de iconos SVG ligero y consistente con el sistema de diseño. Sesiones y caché — Tecnología: express-session + connect-pg-simple (persistencia en PostgreSQL) + Redis (connect-redis y rate-limit-redis). Justificación: sesiones server-side que sobreviven reinicios del servidor, con una capa de Redis dedicada a la limitación de peticiones para no penalizar la base de datos principal.</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9.5 Stack, Automatización</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«node-cron + Nodemailer… sin dependencias externas»</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Automatización y correo — Tecnología: node-cron + Resend (producción, HTTPS) con Nodemailer/SMTP como respaldo en desarrollo. Justificación: cron jobs nativos en Node.js para envíos programados, con un proveedor transaccional en producción y un canal simple para desarrollo local.</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9.5 Stack, Seguridad HTTP</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«Helmet + express-rate-limit… (DDoS)»</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Seguridad — Tecnología: bcrypt (hash de contraseñas) + Helmet + express-rate-limit + csrf-sync + otplib/qrcode (autenticación de dos factores). Justificación: cabeceras de seguridad, protección contra abuso de endpoints y CSRF, y verificación en dos pasos para cuentas administrativas.</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9.5 Stack (agregar al final)</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existe</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Registro de eventos — Tecnología: pino + pino-pretty. Justificación: logging estructurado de bajo overhead para diagnóstico en producción.</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Recomendación 2 (backups)</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«…PostgreSQL desplegado en Railway…»</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«Railway» por «Render». El resto del párrafo se mantiene.</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Recomendación 3 (PWA)</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«Implementación de PWA…» (como si no existiera nada)</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Completar la PWA (Progressive Web App) con Service Worker. El frontend ya incluye un manifiesto de aplicación (frontend/public/manifest.json, con íconos, nombre y colores configurados), pero todavía no tiene un Service Worker. Sin él, StockPilot es parcialmente instalable en algunos navegadores pero no ofrece funcionalidades offline ni notificaciones push. Se recomienda agregar el Service Worker (por ejemplo con vite-plugin-pwa) para completar la experiencia: acceso a funcionalidades básicas sin conexión y notificaciones push de alertas críticas sin depender exclusivamente del resumen semanal por correo.</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Recomendación 5 (códigos de barras) ★</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Omite que ya existe un componente de escaneo</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Integración con lectores de código de barras y QR. El registro manual de productos representa una fricción operativa para los colaboradores. El proyecto cuenta con un componente de escaneo por cámara en la web (detección nativa vía BarcodeDetector con respaldo ZXing) que todavía no está conectado a ninguna pantalla de registro de productos ni de ventas. La aplicación móvil nativa para Android (Flutter), en desarrollo, ya escanea códigos para agregar productos al carrito y vincularlos al catálogo. Se recomienda conectar el componente web a los flujos de registro de productos y ventas y extender el soporte a lectores físicos USB, asociando automáticamente el código escaneado con el producto en la base de datos.</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Recomendación 8 (nube)</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«Despliegue en la nube… para eliminar la dependencia de un servidor local» (ya está en la nube)</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Contenerización del despliegue. StockPilot ya opera en la nube (backend en Render, base de datos gestionada en Neon PostgreSQL), eliminando la dependencia de un servidor local. Como siguiente paso se recomienda contenerizar el backend Express y el frontend React compilado mediante Docker, lo que facilitaría la portabilidad entre proveedores de nube, la paridad entre entornos de desarrollo y producción, y una futura estrategia de escalamiento horizontal.</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 Líneas de código y densidad de defectos ★</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5,8 KLOC y «~1,03 defectos por KLOC»</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Estado actual (KLOC): el proyecto cuenta aproximadamente con 28,2 KLOC de JavaScript y React JSX (backend 12,0 y frontend 16,1), sin contar las pruebas automatizadas ni las dependencias (node_modules); con las pruebas (9,2 KLOC) son cerca de 37,3 KLOC. Medido el 6 de octubre de 2026 sobre 251 archivos (.js, .jsx, .cjs y .mjs). Esta cifra refleja el estado actual del repositorio, que ha seguido creciendo tras el cierre formal del Sprint 5. Estado actual (densidad de defectos): [recalcular con los defectos críticos mitigados ÷ 28,2 KLOC. Con las 6 vulnerabilidades de la auditoría OWASP la densidad es de ~0,21 por KLOC, pero ese conteo no incluye los hallazgos de la auditoría de autorización cerrada el 3-oct (plan 22, sección 1.4); súmelos si los presenta como defectos.]</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 Cobertura de pruebas ★</w:t>
            </w:r>
          </w:p>
        </w:tc>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«100 % de cobertura… ~70 % global»</w:t>
            </w:r>
          </w:p>
        </w:tc>
        <w:tc>
          <w:tcPr>
            <w:tcW w:type="dxa" w:w="542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Estado actual: se cuenta con una suite de 287 pruebas unitarias (Vitest, 21 archivos), 407 pruebas de integración contra una base PostgreSQL real (42 archivos) y pruebas End-to-End en Playwright. La cobertura se mide de forma deliberada sobre el subconjunto de módulos más críticos del backend (motor de reposición y alertas, modelos de producto, validación de entradas y autenticación) en lugar de sobre el proyecto completo, alcanzando en ese subconjunto [actualizar con npm run test:coverage]% de sentencias, para no invertir esfuerzo en pruebas frágiles sobre componentes visuales triviales. (El .md dice 142 pruebas y 99,1 %; hoy son 287 unitarias y 407 de integración, y el porcentaje debe volver a medirse.) Nota: 7 de las 11 pruebas E2E de Playwright están desactualizadas (docs/hallazgo_e2e_desactualizados.md); no las cite como evidencia hasta actualizarlas.</w:t>
            </w:r>
          </w:p>
        </w:tc>
      </w:tr>
    </w:tbl>
    <w:p>
      <w:pPr>
        <w:spacing w:after="60"/>
      </w:pPr>
    </w:p>
    <w:p>
      <w:r>
        <w:br w:type="page"/>
      </w:r>
    </w:p>
    <w:p>
      <w:pPr>
        <w:pStyle w:val="Heading2"/>
        <w:spacing w:after="120" w:before="120"/>
      </w:pPr>
      <w:r>
        <w:rPr>
          <w:rFonts w:ascii="Times New Roman" w:cs="Times New Roman" w:eastAsia="Times New Roman" w:hAnsi="Times New Roman"/>
          <w:b/>
          <w:bCs/>
          <w:sz w:val="26"/>
          <w:szCs w:val="26"/>
        </w:rPr>
        <w:t xml:space="preserve">B. Título y alcance (comercio minorista)</w:t>
      </w:r>
    </w:p>
    <w:p>
      <w:pPr>
        <w:spacing w:after="120" w:line="300"/>
        <w:jc w:val="both"/>
      </w:pPr>
      <w:r>
        <w:rPr>
          <w:rFonts w:ascii="Times New Roman" w:cs="Times New Roman" w:eastAsia="Times New Roman" w:hAnsi="Times New Roman"/>
          <w:sz w:val="24"/>
          <w:szCs w:val="24"/>
        </w:rPr>
        <w:t xml:space="preserve">Frase de delimitación para agregar al final del último párrafo de la Introducción:</w:t>
      </w:r>
    </w:p>
    <w:p>
      <w:pPr>
        <w:spacing w:after="120" w:line="300"/>
        <w:jc w:val="both"/>
      </w:pPr>
      <w:r>
        <w:rPr>
          <w:rFonts w:ascii="Times New Roman" w:cs="Times New Roman" w:eastAsia="Times New Roman" w:hAnsi="Times New Roman"/>
          <w:sz w:val="24"/>
          <w:szCs w:val="24"/>
        </w:rPr>
        <w:t xml:space="preserve">«El sistema está diseñado para microempresas de comercio minorista. El diagnóstico y la validación inicial se centraron en tiendas de víveres, el segmento más numeroso y con mayores pérdidas por vencimiento; otros comercios de barrio constituyen el segmento de expansión.»</w:t>
      </w:r>
    </w:p>
    <w:p>
      <w:pPr>
        <w:spacing w:after="120" w:line="300"/>
        <w:jc w:val="both"/>
      </w:pPr>
      <w:r>
        <w:rPr>
          <w:rFonts w:ascii="Times New Roman" w:cs="Times New Roman" w:eastAsia="Times New Roman" w:hAnsi="Times New Roman"/>
          <w:b/>
          <w:bCs/>
          <w:sz w:val="24"/>
          <w:szCs w:val="24"/>
        </w:rPr>
        <w:t xml:space="preserve">Consulte al docente antes de cambiar el título o los objetivos.</w:t>
      </w:r>
      <w:r>
        <w:rPr>
          <w:rFonts w:ascii="Times New Roman" w:cs="Times New Roman" w:eastAsia="Times New Roman" w:hAnsi="Times New Roman"/>
          <w:sz w:val="24"/>
          <w:szCs w:val="24"/>
        </w:rPr>
        <w:t xml:space="preserve"> Si cambia el título, la referencia al Documento 5 en el documento de Intervención y Viabilidad debe coincidir exactamente (Sección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3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actual</w:t>
            </w:r>
          </w:p>
        </w:tc>
        <w:tc>
          <w:tcPr>
            <w:tcW w:type="dxa" w:w="43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propuesto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Portada</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StockPilot: Sistema Web de Gestión de Inventarios con Inteligencia Artificial Predictiva para Microempresas de Distribución de víveres en Bogotá</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StockPilot: plataforma web de gestión comercial asistida por inteligencia artificial para microempresas de comercio minorista en Bogotá</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Introducción, último párrafo ★</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«…una aplicación web de gestión inteligente de inventarios orientada específicamente a microempresas de distribución de víveres en Bogotá, que integra algoritmos clásicos de gestión de inventarios con un copiloto de inteligencia artificial para la generación de recomendaciones de reabastecimiento en lenguaje natural.»</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«…una plataforma web de gestión comercial orientada a microempresas de comercio minorista en Bogotá, que integra algoritmos clásicos de gestión de inventarios (clasificación ABC, punto de reorden y proyección de agotamiento) con un asistente de inteligencia artificial opcional que ajusta, dentro de límites definidos, las cantidades que calcula el motor matemático y las explica en lenguaje natural.» + la frase de delimitación.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problema, primer párrafo</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«Algunas microempresas de distribución de víveres no tienen…»</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«Muchas microempresas de comercio minorista, en especial las tiendas de víveres, no tienen…»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Objetivo general</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«Construir una aplicación web de gestión inteligente de inventarios con componentes de inteligencia artificial predictiva, orientada a reducir las pérdidas por vencimiento y desabastecimiento en microempresas de distribución de víveres en Bogotá.»</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«Construir una plataforma web de gestión comercial asistida por inteligencia artificial, orientada a reducir las pérdidas por vencimiento y desabastecimiento en microempresas de comercio minorista de Bogotá.» (La aclaración de que la IA es opcional va en la Introducción, en el objetivo específico 3 y en la Sección H.)</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Objetivo específico 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 las microempresas de distribución de víveres en Bogotá…»</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 las microempresas de comercio minorista de Bogotá, con énfasis en las tiendas de víveres…»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Objetivo específico 3 ★</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«Implementar los módulos funcionales del sistema incluyendo gestión de productos, registro de ventas, alertas automáticas, motor predictivo de demanda y copiloto de inteligencia artificial para recomendaciones de reabastecimiento.»</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«Implementar los módulos funcionales del sistema, incluyendo gestión de productos, registro de ventas, punto de venta y control de caja, cartera de clientes, compras a proveedores, alertas automáticas, un motor de reposición basado en velocidad de venta, clasificación ABC y punto de reorden, y un asistente de inteligencia artificial opcional para ajustar y explicar las recomendaciones de reabastecimiento.»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Estado del arte, Conclusión</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«…necesidades específicas de las microempresas de distribución de víveres en Bogotá…»</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«…necesidades específicas del comercio minorista de barrio en Bogotá, en particular de las tiendas de víveres…»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primera frase</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«…15 módulos funcionales que cubren el ciclo completo de gestión de inventario inteligente.»</w:t>
            </w:r>
          </w:p>
        </w:tc>
        <w:tc>
          <w:tcPr>
            <w:tcW w:type="dxa" w:w="43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«…módulos funcionales que cubren el ciclo comercial completo de la microempresa: inventario, ventas y caja, clientes, compras a proveedores y analítica.»</w:t>
            </w:r>
          </w:p>
        </w:tc>
      </w:tr>
    </w:tbl>
    <w:p>
      <w:pPr>
        <w:spacing w:after="60"/>
      </w:pPr>
    </w:p>
    <w:p>
      <w:pPr>
        <w:spacing w:after="120" w:line="300"/>
        <w:jc w:val="both"/>
      </w:pPr>
      <w:r>
        <w:rPr>
          <w:rFonts w:ascii="Times New Roman" w:cs="Times New Roman" w:eastAsia="Times New Roman" w:hAnsi="Times New Roman"/>
          <w:sz w:val="24"/>
          <w:szCs w:val="24"/>
        </w:rPr>
        <w:t xml:space="preserve">La formulación del problema, la pregunta generadora y los datos del DANE pueden quedar sobre víveres: describen el caso de estudio, y la frase de delimitación explica la relación con el alcance del producto.</w:t>
      </w:r>
    </w:p>
    <w:p>
      <w:r>
        <w:br w:type="page"/>
      </w:r>
    </w:p>
    <w:p>
      <w:pPr>
        <w:pStyle w:val="Heading2"/>
        <w:spacing w:after="120" w:before="120"/>
      </w:pPr>
      <w:r>
        <w:rPr>
          <w:rFonts w:ascii="Times New Roman" w:cs="Times New Roman" w:eastAsia="Times New Roman" w:hAnsi="Times New Roman"/>
          <w:b/>
          <w:bCs/>
          <w:sz w:val="26"/>
          <w:szCs w:val="26"/>
        </w:rPr>
        <w:t xml:space="preserve">C. Inconsistencias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650"/>
        <w:gridCol w:w="3300"/>
        <w:gridCol w:w="3760"/>
      </w:tblGrid>
      <w:tr>
        <w:trPr>
          <w:tblHeader/>
        </w:trPr>
        <w:tc>
          <w:tcPr>
            <w:tcW w:type="dxa" w:w="65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w:t>
            </w:r>
          </w:p>
        </w:tc>
        <w:tc>
          <w:tcPr>
            <w:tcW w:type="dxa" w:w="165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3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Problema</w:t>
            </w:r>
          </w:p>
        </w:tc>
        <w:tc>
          <w:tcPr>
            <w:tcW w:type="dxa" w:w="37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Corrección</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 Metodología (justificación y roles)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Dice «un equipo de dos personas» y «el Equipo de Desarrollo, conformado por los dos integrantes», pero la portada tiene tres autores.</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«tres personas» y «los tres integrantes». Si un integrante se unió después, explicarlo en una frase.</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9 y 9.7 Sprint 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Describe en el Centro Analítico la «pérdida económica proyectada por vencimientos», el «nivel de servicio estimado» y la «comparación de ventas 30/30 días». El endpoint que calculaba esto (/api/dashboard/stats/advanced) nunca tuvo pantalla que lo mostrara y fue eliminado en la unificación del motor. La página del Centro Analítico muestra la proyección de agotamiento, pero no esas tres métricas.</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Verificar en la aplicación qué muestra hoy el Centro Analítico y describir solo eso. Si RF-038 a RF-043 incluían esas métricas, el documento no puede afirmar que el 100 % de los requerimientos está implementado sin aclararlo. (La primera frase del Módulo 9 sobre el Dashboard está en la Sección H.)</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 ★</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8 (Alertas)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Describe las reglas antiguas del motor de alertas (días de inventario frente al lead time). Con la unificación del motor de reposición (plan 17) las reglas cambiaron: ahora un solo motor define el nivel de cada producto.</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Reemplazar la descripción del Módulo 8 por este texto (comprobado en models/Alert.js y utils/reposicion.js): «Módulo 8 — Alertas Inteligentes. Genera cuatro tipos de alertas automáticas a partir del mismo motor de reposición que usan el Catálogo, el Consejero y Proveedores, de modo que un producto tiene el mismo estado en todas las pantallas: stock crítico (el producto está agotado, o no tiene ventas recientes y su stock está por debajo del stock de seguridad, o sus días de inventario restantes son menores o iguales al tiempo de entrega del proveedor y hace falta reponer); advertencia de reposición (los días de inventario restantes caen dentro de la ventana entre el tiempo de entrega y el tiempo de entrega más la frecuencia de compra del producto); vencimiento (crítico si vence en 7 días o menos y, al ritmo de venta de los últimos 7 días, quedarían unidades sin vender; próximo si vence en 30 días o menos en la misma condición, con una estimación de las unidades invendibles); y sobrestock (informativa: productos de clase C con existencias por encima del stock máximo y más de 60 días de inventario). Las alertas activas se actualizan en su lugar, conservando su fecha de creación, en lugar de cerrarse y reabrirse, y la regeneración de cada tienda se ejecuta bajo un bloqueo para que dos operaciones simultáneas no dupliquen alertas. Permite filtrar alertas por severidad y marcarlas como resueltas individualmente (RF-033 a RF-037).»</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7.1 Promedios móviles ponderados, 9.7 Sprint 3 y 11 Rec. 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Dice que la velocidad se calcula con promedios ponderados de 7, 30 y 90 días. El motor usa la velocidad de 30 días y una tendencia (7 días ÷ 30 días) acotada entre 0,5 y 2, con un mínimo de 5 unidades vendidas. El Módulo 6 del mismo documento dice «7 y 30 días».</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Describir el cálculo real: «velocidad de venta diaria de los últimos 30 días, ajustada por un factor de tendencia (7 frente a 30 días) acotado entre 0,5 y 2 cuando hay al menos 5 unidades vendidas». El texto completo del Módulo 6 está en la Sección H.</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Estado del arte, Barreras y Conclusión</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Afirma que la solución debe «funcionar con conectividad limitada» y operar sin conexión, pero StockPilot requiere internet (la PWA offline es trabajo futuro, Rec. 3).</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 la Conclusión, presentar la operación sin conexión como una necesidad que StockPilot atenderá con la PWA (trabajo futuro), no como algo que ya resuelve.</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problema (quién, dónde) e Impacto</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Menciona a Justo &amp; Bueno como competidor actual. La Superintendencia de Sociedades ordenó su liquidación en 2022 y la cadena cerró.</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Quitar Justo &amp; Bueno. Dejar D1 y Ara (y, si quieren, otra cadena vigente con fuente).</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Estado del arte (Chiper y Treinta)</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Documento 5 dice que Chiper recaudó más de US$65 millones y que Treinta tiene más de 10.000 comercios. El Plan de Negocio atribuye los US$65M a Treinta y le da más de 40.000 usuarios.</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Verificar las cifras con la fuente original y dejarlas iguales en los dos documentos.</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 ★</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1, 9.2 Casos de uso</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Documento 5 llama a los roles «Administrador y Colaborador», que es el nombre que muestra la interfaz («Registrar Colaborador», «Colaboradores»). El valor interno del rol en la base de datos es «Tendero», y el Plan de Negocio v2 y el documento de Intervención usan «Tendero». (La revisión del 26-sep decía que el rol visible era «Tendero»; no es así.)</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Unificar con «Administrador y Colaborador», que es lo que ve el usuario, aclarando una sola vez que internamente el rol se almacena como «Tendero». En el Plan de Negocio v2 y en Intervención, usar «Colaborador» donde se hable del rol; «tendero» como persona (el dueño del negocio) puede mantenerse.</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 Seguridad (ISO 25010)</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Dice «autenticación (JWT/Sesiones)». El sistema usa sesiones en el servidor, no JWT.</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«autenticación por sesiones en el servidor».</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 Portabilidad</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«100 % de portabilidad al ser contenerizado», pero la contenerización es trabajo futuro (Rec. 8).</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«alta portabilidad: se ejecuta en cualquier entorno con Node.js y variables de entorno; la contenerización con Docker está planificada».</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Recomendación 9</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Recomienda evaluar la calidad con ISO/IEC 25010 «como trabajo futuro en la Práctica V», pero el documento ya es de la Práctica V.</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Hacer esa evaluación ahora (ver sección E) y quitar la recomendación, o cambiarla por «evaluación de usabilidad con usuarios reales».</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9.8 Plan de pruebas y 10. Conclusiones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Afirma que el 100 % de los casos de prueba fue satisfactorio y que el sistema cumple la totalidad de los requerimientos. Con los puntos 2 y 3, esa afirmación ya no es exacta.</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Matizar: «el 100 % de los casos ejecutados fue satisfactorio»; si alguna función cambió después, mencionarlo.</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13 ★</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 Conclusiones (pruebas)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Menciona los tests de polimorfismo, matemática de inventario, métricas de IA y sanitización, pero no las del motor de reposición ni las de autorización.</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Agregar «motor de reposición (28 pruebas), reglas de autorización y pruebas de integración contra PostgreSQL real», y el total actual: 287 pruebas unitarias y 407 de integración (6-oct-2026). La revisión del 26-sep decía 22 y 149.</w:t>
            </w:r>
          </w:p>
        </w:tc>
      </w:tr>
      <w:tr>
        <w:trPr>
          <w:cantSplit/>
        </w:trPr>
        <w:tc>
          <w:tcPr>
            <w:tcW w:type="dxa" w:w="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14 ★ (nueva)</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Módulos 6, 9 y 14, Introducción y Conclusiones 3 y 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IA se presenta como un copiloto predictivo que «aprende» y cuyo efecto fue «comprobado». En el código, el motor matemático calcula las cantidades, la IA solo propone un ajuste acotado y redacta la justificación, y el factor de aprendizaje solo corrige el punto de reorden.</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Aplicar los textos de la Sección H.</w:t>
            </w:r>
          </w:p>
        </w:tc>
      </w:tr>
    </w:tbl>
    <w:p>
      <w:pPr>
        <w:spacing w:after="60"/>
      </w:pPr>
    </w:p>
    <w:p>
      <w:r>
        <w:br w:type="page"/>
      </w:r>
    </w:p>
    <w:p>
      <w:pPr>
        <w:pStyle w:val="Heading2"/>
        <w:spacing w:after="120" w:before="120"/>
      </w:pPr>
      <w:r>
        <w:rPr>
          <w:rFonts w:ascii="Times New Roman" w:cs="Times New Roman" w:eastAsia="Times New Roman" w:hAnsi="Times New Roman"/>
          <w:b/>
          <w:bCs/>
          <w:sz w:val="26"/>
          <w:szCs w:val="26"/>
        </w:rPr>
        <w:t xml:space="preserve">D. Funciones que existen en la aplicación y no están documentadas</w:t>
      </w:r>
    </w:p>
    <w:p>
      <w:pPr>
        <w:spacing w:after="120" w:line="300"/>
        <w:jc w:val="both"/>
      </w:pPr>
      <w:r>
        <w:rPr>
          <w:rFonts w:ascii="Times New Roman" w:cs="Times New Roman" w:eastAsia="Times New Roman" w:hAnsi="Times New Roman"/>
          <w:sz w:val="24"/>
          <w:szCs w:val="24"/>
        </w:rPr>
        <w:t xml:space="preserve">Con el nuevo título («gestión comercial»), estas funciones son justamente las que respaldan el cambio de alcance. Ninguna aparece en el Documento 5 (ni en el .md). Lo que cambió después del 26 de septiembre está en la Sección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Función</w:t>
            </w:r>
          </w:p>
        </w:tc>
        <w:tc>
          <w:tcPr>
            <w:tcW w:type="dxa" w:w="44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Qué hace (según el código)</w:t>
            </w:r>
          </w:p>
        </w:tc>
        <w:tc>
          <w:tcPr>
            <w:tcW w:type="dxa" w:w="29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Dónde documentarla</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Cartera de clientes y fiados</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Registro de clientes con límite de crédito; ventas con método de pago «Fiado»; saldo pendiente por cliente (fiados − abonos); registro de abonos vinculados a la sesión de caja; detalle de ventas fiadas y abonos; evaluación opcional del riesgo del cliente con IA (alto, medio o bajo).</w:t>
            </w:r>
          </w:p>
        </w:tc>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 módulo en 9.1 («Módulo 16 — Cartera de Clientes y Ventas a Crédito») y en el marco del problema: el fiado es una práctica central de la tienda de barrio.</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Comunicados globales</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Envío de comunicados a los usuarios de la tienda.</w:t>
            </w:r>
          </w:p>
        </w:tc>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15 (Automatización y comunicación).</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Historial del copiloto (auditoría de la IA)</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Pantalla que muestra el historial de decisiones de la IA con su impacto.</w:t>
            </w:r>
          </w:p>
        </w:tc>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6 (menciona el log de auditoría, pero no la pantalla).</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Autenticación de dos factores</w:t>
            </w:r>
          </w:p>
        </w:tc>
        <w:tc>
          <w:tcPr>
            <w:tcW w:type="dxa" w:w="4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Verificación en dos pasos para cuentas administrativas (otplib/qrcode).</w:t>
            </w:r>
          </w:p>
        </w:tc>
        <w:tc>
          <w:tcPr>
            <w:tcW w:type="dxa" w:w="29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1 y requerimientos de seguridad.</w:t>
            </w:r>
          </w:p>
        </w:tc>
      </w:tr>
    </w:tbl>
    <w:p>
      <w:pPr>
        <w:spacing w:after="60"/>
      </w:pPr>
    </w:p>
    <w:p>
      <w:pPr>
        <w:spacing w:after="120" w:line="300"/>
        <w:jc w:val="both"/>
      </w:pPr>
      <w:r>
        <w:rPr>
          <w:rFonts w:ascii="Times New Roman" w:cs="Times New Roman" w:eastAsia="Times New Roman" w:hAnsi="Times New Roman"/>
          <w:sz w:val="24"/>
          <w:szCs w:val="24"/>
        </w:rPr>
        <w:t xml:space="preserve">Texto propuesto para el nuevo módulo (★ ajustado el 6-oct: la IA es opcional y solo recibe el historial de pagos):</w:t>
      </w:r>
    </w:p>
    <w:p>
      <w:pPr>
        <w:spacing w:after="120" w:line="300"/>
        <w:jc w:val="both"/>
      </w:pPr>
      <w:r>
        <w:rPr>
          <w:rFonts w:ascii="Times New Roman" w:cs="Times New Roman" w:eastAsia="Times New Roman" w:hAnsi="Times New Roman"/>
          <w:sz w:val="24"/>
          <w:szCs w:val="24"/>
        </w:rPr>
        <w:t xml:space="preserve">«Módulo 16 — Cartera de Clientes y Ventas a Crédito. Permite registrar clientes con un límite de crédito y vender a crédito (fiado) desde el punto de venta. Calcula el saldo pendiente de cada cliente como la diferencia entre sus ventas fiadas y sus abonos, y permite registrar abonos vinculados a la sesión de caja abierta. Muestra el detalle de ventas fiadas y abonos por cliente y, de forma opcional, evalúa con inteligencia artificial el riesgo de crédito de cada cliente (alto, medio o bajo) para apoyar la decisión de seguir fiándole; la IA recibe únicamente el historial de pagos del cliente, sin su nombre ni su celular.»</w:t>
      </w:r>
    </w:p>
    <w:p>
      <w:pPr>
        <w:spacing w:after="120" w:line="300"/>
        <w:jc w:val="both"/>
      </w:pPr>
      <w:r>
        <w:rPr>
          <w:rFonts w:ascii="Times New Roman" w:cs="Times New Roman" w:eastAsia="Times New Roman" w:hAnsi="Times New Roman"/>
          <w:sz w:val="24"/>
          <w:szCs w:val="24"/>
        </w:rPr>
        <w:t xml:space="preserve">Si agregan este módulo y el de la Sección I, actualicen el número total de módulos (15 → 17) en 8, 9.1, 9.2 y 10, y asignen los requerimientos correspondientes en el Anexo 7.</w:t>
      </w:r>
    </w:p>
    <w:p>
      <w:pPr>
        <w:pStyle w:val="Heading2"/>
        <w:spacing w:after="120" w:before="120"/>
      </w:pPr>
      <w:r>
        <w:rPr>
          <w:rFonts w:ascii="Times New Roman" w:cs="Times New Roman" w:eastAsia="Times New Roman" w:hAnsi="Times New Roman"/>
          <w:b/>
          <w:bCs/>
          <w:sz w:val="26"/>
          <w:szCs w:val="26"/>
        </w:rPr>
        <w:t xml:space="preserve">E. Estructura exigida para la Práctica V</w:t>
      </w:r>
    </w:p>
    <w:p>
      <w:pPr>
        <w:spacing w:after="120" w:line="300"/>
        <w:jc w:val="both"/>
      </w:pPr>
      <w:r>
        <w:rPr>
          <w:rFonts w:ascii="Times New Roman" w:cs="Times New Roman" w:eastAsia="Times New Roman" w:hAnsi="Times New Roman"/>
          <w:sz w:val="24"/>
          <w:szCs w:val="24"/>
        </w:rPr>
        <w:t xml:space="preserve">Según el Documento Base, la Práctica V entrega un documento de análisis de la calidad del sistema, un plan de negocio y un póster. La actividad del plan de negocio pide ubicarlo como último tema, antes de la bibliografía y los anexos. Hoy el documento termina en Métricas. Orden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500"/>
        <w:gridCol w:w="3860"/>
      </w:tblGrid>
      <w:tr>
        <w:trPr>
          <w:tblHeader/>
        </w:trPr>
        <w:tc>
          <w:tcPr>
            <w:tcW w:type="dxa" w:w="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w:t>
            </w:r>
          </w:p>
        </w:tc>
        <w:tc>
          <w:tcPr>
            <w:tcW w:type="dxa" w:w="3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Capítulo</w:t>
            </w:r>
          </w:p>
        </w:tc>
        <w:tc>
          <w:tcPr>
            <w:tcW w:type="dxa" w:w="15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Estado</w:t>
            </w:r>
          </w:p>
        </w:tc>
        <w:tc>
          <w:tcPr>
            <w:tcW w:type="dxa" w:w="38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Fuente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Introducción a Recomendaciones (actual)</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Existe</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 las correcciones de A a D, H e I</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Métricas y análisis de calidad del sistema (ISO/IEC 25010)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Parcial</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Ampliar con la evaluación por característica (ver abajo)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intervención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StockPilot_Intervencion_y_Viabilidad.docx, cap. 1, con las correcciones de la Sección J</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Reporte de intervención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Mismo archivo, cap. 2</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Análisis de resultados de la intervención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Mismo archivo, cap. 3, con las correcciones de la Sección J</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Evaluación de la viabilidad (fortalezas y debilidades)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Mismo archivo, cap. 4, con las correcciones de la Sección J</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17</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 en este documento</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con las secciones corregidas (v2) y las correcciones de la Sección J</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18</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Referencias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Existe</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Completar (sección F)</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19</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Anexos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Existe</w:t>
            </w:r>
          </w:p>
        </w:tc>
        <w:tc>
          <w:tcPr>
            <w:tcW w:type="dxa" w:w="3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Agregar: encuesta, modelo financiero (Excel), instrumentos SUS</w:t>
            </w:r>
          </w:p>
        </w:tc>
      </w:tr>
    </w:tbl>
    <w:p>
      <w:pPr>
        <w:spacing w:after="60"/>
      </w:pPr>
    </w:p>
    <w:p>
      <w:pPr>
        <w:spacing w:after="120" w:line="300"/>
        <w:jc w:val="both"/>
      </w:pPr>
      <w:r>
        <w:rPr>
          <w:rFonts w:ascii="Times New Roman" w:cs="Times New Roman" w:eastAsia="Times New Roman" w:hAnsi="Times New Roman"/>
          <w:sz w:val="24"/>
          <w:szCs w:val="24"/>
        </w:rPr>
        <w:t xml:space="preserve">Sobre el análisis de calidad: la sección 12 mezcla métricas de proceso con afirmaciones generales. Para la Práctica V conviene una tabla por característica de ISO/IEC 25010 con métrica, fórmula, valor medido y fuente. Con lo que ya existe se pueden llenar: adecuación funcional (requerimientos implementados), eficiencia de desempeño (prueba de carga: 12,9 peticiones/s, 747 ms), fiabilidad (287 pruebas unitarias y 407 de integración, tasa de errores), seguridad (6 vulnerabilidades OWASP mitigadas y los hallazgos de la auditoría de autorización, 2FA, CSRF), mantenibilidad (28,2 KLOC, densidad de defectos, auditorías de código) y portabilidad. La usabilidad quedará con el SUS de la prueba con tenderos.</w:t>
      </w:r>
    </w:p>
    <w:p>
      <w:pPr>
        <w:pStyle w:val="Heading2"/>
        <w:spacing w:after="120" w:before="120"/>
      </w:pPr>
      <w:r>
        <w:rPr>
          <w:rFonts w:ascii="Times New Roman" w:cs="Times New Roman" w:eastAsia="Times New Roman" w:hAnsi="Times New Roman"/>
          <w:b/>
          <w:bCs/>
          <w:sz w:val="26"/>
          <w:szCs w:val="26"/>
        </w:rPr>
        <w:t xml:space="preserve">F. Referencias (APA 7)</w:t>
      </w:r>
    </w:p>
    <w:p>
      <w:pPr>
        <w:spacing w:after="120" w:line="300"/>
        <w:jc w:val="both"/>
      </w:pPr>
      <w:r>
        <w:rPr>
          <w:rFonts w:ascii="Times New Roman" w:cs="Times New Roman" w:eastAsia="Times New Roman" w:hAnsi="Times New Roman"/>
          <w:sz w:val="24"/>
          <w:szCs w:val="24"/>
        </w:rPr>
        <w:t xml:space="preserve">Comparé las citas del texto con la lista de referencias. Cerca de 28 fuentes citadas no aparecen en la lista, y varias referencias de la lista no se citan en el texto. En APA, cada cita debe tener su referencia y viceversa. (Sin cambios respecto a la revisión del 26 de septiembre.)</w:t>
      </w:r>
    </w:p>
    <w:p>
      <w:pPr>
        <w:spacing w:after="120" w:line="300"/>
        <w:jc w:val="both"/>
      </w:pPr>
      <w:r>
        <w:rPr>
          <w:rFonts w:ascii="Times New Roman" w:cs="Times New Roman" w:eastAsia="Times New Roman" w:hAnsi="Times New Roman"/>
          <w:b/>
          <w:bCs/>
          <w:sz w:val="24"/>
          <w:szCs w:val="24"/>
        </w:rPr>
        <w:t xml:space="preserve">Citadas en el texto pero ausentes en Referencias</w:t>
      </w:r>
    </w:p>
    <w:p>
      <w:pPr>
        <w:spacing w:after="120" w:line="300"/>
        <w:jc w:val="both"/>
      </w:pPr>
      <w:r>
        <w:rPr>
          <w:rFonts w:ascii="Times New Roman" w:cs="Times New Roman" w:eastAsia="Times New Roman" w:hAnsi="Times New Roman"/>
          <w:sz w:val="24"/>
          <w:szCs w:val="24"/>
        </w:rPr>
        <w:t xml:space="preserve">ACOPI (2023) · Alcaldía Mayor de Bogotá (2024) · Amershi et al. (2019) · BID (2021)¹ · Brown et al. (2020) · Cámara de Comercio de Bogotá (2015) · Centro Nacional de Consultoría / iNNpulsa (2024) · Chase et al. (2009) · Cortés Jiménez y Henao Zapata (2021) · DANE (2021) · Davis (1989) · dichter &amp; neira (2024) · eWorkplace (2023) · FAO (2019) · Fenalco, citado en Reyes (2021) · IASB (2023) · Invima (2023) · Makridakis et al. (1998) · Mahaal (2024) · Microsip (2023) · MinCIT (2023) · MRPEasy (s.f.) · Napse (2024) · Observatorio de Desarrollo Económico de Bogotá (2025) · Pareto (1896) · SAC (2023) · Sommerville · Treinta (2024) · Weavee (2025)</w:t>
      </w:r>
    </w:p>
    <w:p>
      <w:pPr>
        <w:spacing w:after="120" w:line="300"/>
        <w:jc w:val="both"/>
      </w:pPr>
      <w:r>
        <w:rPr>
          <w:rFonts w:ascii="Times New Roman" w:cs="Times New Roman" w:eastAsia="Times New Roman" w:hAnsi="Times New Roman"/>
          <w:sz w:val="24"/>
          <w:szCs w:val="24"/>
        </w:rPr>
        <w:t xml:space="preserve">¹ En el texto se cita «BID, 2021», pero la lista tiene «Banco Interamericano de Desarrollo (2022), Informe anual 2021». Unificar el año.</w:t>
      </w:r>
    </w:p>
    <w:p>
      <w:pPr>
        <w:spacing w:after="120" w:line="300"/>
        <w:jc w:val="both"/>
      </w:pPr>
      <w:r>
        <w:rPr>
          <w:rFonts w:ascii="Times New Roman" w:cs="Times New Roman" w:eastAsia="Times New Roman" w:hAnsi="Times New Roman"/>
          <w:sz w:val="24"/>
          <w:szCs w:val="24"/>
        </w:rPr>
        <w:t xml:space="preserve">Gamma et al. se cita como 1995 en el texto y aparece como 1994 en la lista (la edición original es de 1994).</w:t>
      </w:r>
    </w:p>
    <w:p>
      <w:pPr>
        <w:spacing w:after="120" w:line="300"/>
        <w:jc w:val="both"/>
      </w:pPr>
      <w:r>
        <w:rPr>
          <w:rFonts w:ascii="Times New Roman" w:cs="Times New Roman" w:eastAsia="Times New Roman" w:hAnsi="Times New Roman"/>
          <w:sz w:val="24"/>
          <w:szCs w:val="24"/>
        </w:rPr>
        <w:t xml:space="preserve">Referencias de la lista que no encontré citadas en el texto: Albarracín Villamizar (2004), Alcívar y Vásquez (2018), BBVA Research (2024), Beck et al. (2001), Cámara Colombiana de Comercio Electrónico (2023), Fielding (2000), Gustavo y Felipe (2016), Ji et al. (2024), Jiménez (2018), Monk y Wagner (2012), Moreira-Cañarte y Peñafiel-Rivas (2018), Oracle (2023), Polo-Triana et al. (2024). Citarlas donde correspondan o retirarlas.</w:t>
      </w:r>
    </w:p>
    <w:p>
      <w:pPr>
        <w:spacing w:after="120" w:line="300"/>
        <w:jc w:val="both"/>
      </w:pPr>
      <w:r>
        <w:rPr>
          <w:rFonts w:ascii="Times New Roman" w:cs="Times New Roman" w:eastAsia="Times New Roman" w:hAnsi="Times New Roman"/>
          <w:sz w:val="24"/>
          <w:szCs w:val="24"/>
        </w:rPr>
        <w:t xml:space="preserve">La Bibliografía del Plan de Negocio tiene muchas de las fuentes que faltan; al integrar el plan en este documento, conviene unificar una sola lista.</w:t>
      </w:r>
    </w:p>
    <w:p>
      <w:pPr>
        <w:spacing w:after="120" w:line="300"/>
        <w:jc w:val="both"/>
      </w:pPr>
      <w:r>
        <w:rPr>
          <w:rFonts w:ascii="Times New Roman" w:cs="Times New Roman" w:eastAsia="Times New Roman" w:hAnsi="Times New Roman"/>
          <w:sz w:val="24"/>
          <w:szCs w:val="24"/>
        </w:rPr>
        <w:t xml:space="preserve">Las referencias nuevas de los entregables de intervención (Brooke, 1996; Kemmis y McTaggart, 1988; Mankins, 1995; Nielsen, 2000; Ries, 2011; Sauro, 2011) deben agregarse también.</w:t>
      </w:r>
    </w:p>
    <w:p>
      <w:pPr>
        <w:pStyle w:val="Heading2"/>
        <w:spacing w:after="120" w:before="120"/>
      </w:pPr>
      <w:r>
        <w:rPr>
          <w:rFonts w:ascii="Times New Roman" w:cs="Times New Roman" w:eastAsia="Times New Roman" w:hAnsi="Times New Roman"/>
          <w:b/>
          <w:bCs/>
          <w:sz w:val="26"/>
          <w:szCs w:val="26"/>
        </w:rPr>
        <w:t xml:space="preserve">G. Forma y redacción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39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Problema</w:t>
            </w:r>
          </w:p>
        </w:tc>
        <w:tc>
          <w:tcPr>
            <w:tcW w:type="dxa" w:w="36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Corrección</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Varias secciones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Hay texto con resaltado amarillo en el título del Diagrama de Ishikawa, toda la Justificación, los objetivos específicos, el Marco Legal, el Marco Ambiental y la Metodología.</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 el resaltado marcaba texto pendiente de revisión, revisarlo y quitar el resaltado antes de entregar.</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problema, último párrafo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«Esta falta de precisión también de da…» y la frase «errores de registro en 3 de cada 10 transacciones» aparece dos veces en el mismo párrafo.</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«…también se da…» y eliminar la repetición.</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Recomendaciones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frase introductoria quedó numerada como el ítem 1, así que la primera recomendación es la 2.</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Quitar la numeración de la frase introductoria; renumerar de 1 a 8.</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9.3 Historias de usuario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 ANEXO 10 — HISTORIAS DE USUARIO», pero el Anexo 10 es el Diagrama de componentes.</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«VER ANEXO 9».</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9.4 Diagrama de componentes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 ANEXO 11», pero el Anexo 11 es el Diagrama de arquitectura.</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«VER ANEXO 10».</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9.8 Plan de pruebas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«VER ANEXO 8 — REQUERIMIENTOS COMPLETOS», pero el Anexo 8 es Casos de uso.</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Cambiar a «VER ANEXO 7» (el .md ya lo tiene bien).</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Tabla de contenido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Los números de página no corresponden (por ejemplo, Métricas en la página 56 y Anexos en la 57, después de Recomendaciones en la 46).</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Actualizar la tabla de contenido al final, cuando esté todo integrado.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Numeración de títulos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Los capítulos 1 a 9 usan numeración automática y del 10 en adelante el número está escrito a mano.</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Usar la misma numeración automática en todos los capítulos, incluidos los nuevos.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 Pregunta generadora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 idéntica a la Formulación del problema.</w:t>
            </w:r>
          </w:p>
        </w:tc>
        <w:tc>
          <w:tcPr>
            <w:tcW w:type="dxa" w:w="3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Opcional: está bien si el formato de la universidad lo pide así; si no, una puede remitir a la otra.</w:t>
            </w:r>
          </w:p>
        </w:tc>
      </w:tr>
    </w:tbl>
    <w:p>
      <w:pPr>
        <w:spacing w:after="60"/>
      </w:pPr>
    </w:p>
    <w:p>
      <w:pPr>
        <w:spacing w:after="120" w:line="300"/>
        <w:jc w:val="both"/>
      </w:pPr>
      <w:r>
        <w:rPr>
          <w:rFonts w:ascii="Times New Roman" w:cs="Times New Roman" w:eastAsia="Times New Roman" w:hAnsi="Times New Roman"/>
          <w:sz w:val="24"/>
          <w:szCs w:val="24"/>
        </w:rPr>
        <w:t xml:space="preserve">Fuente consultada: Infobae (4-ago-2022), «Justo &amp; Bueno se acaba, SuperSociedades ordenó su liquidación definitiva», https://www.infobae.com/america/colombia/2022/08/04/justo-bueno-se-acaba-supersociedades-ordeno-su-liquidacion-definitiva/</w:t>
      </w:r>
    </w:p>
    <w:p>
      <w:r>
        <w:br w:type="page"/>
      </w:r>
    </w:p>
    <w:p>
      <w:pPr>
        <w:pStyle w:val="Heading2"/>
        <w:spacing w:after="120" w:before="120"/>
      </w:pPr>
      <w:r>
        <w:rPr>
          <w:rFonts w:ascii="Times New Roman" w:cs="Times New Roman" w:eastAsia="Times New Roman" w:hAnsi="Times New Roman"/>
          <w:b/>
          <w:bCs/>
          <w:sz w:val="26"/>
          <w:szCs w:val="26"/>
        </w:rPr>
        <w:t xml:space="preserve">H. Lo que hace realmente la inteligencia artificial (Documento 5)</w:t>
      </w:r>
    </w:p>
    <w:p>
      <w:pPr>
        <w:spacing w:after="120" w:line="300"/>
        <w:jc w:val="both"/>
      </w:pPr>
      <w:r>
        <w:rPr>
          <w:rFonts w:ascii="Times New Roman" w:cs="Times New Roman" w:eastAsia="Times New Roman" w:hAnsi="Times New Roman"/>
          <w:b/>
          <w:bCs/>
          <w:sz w:val="24"/>
          <w:szCs w:val="24"/>
        </w:rPr>
        <w:t xml:space="preserve">Por qué esta sección.</w:t>
      </w:r>
      <w:r>
        <w:rPr>
          <w:rFonts w:ascii="Times New Roman" w:cs="Times New Roman" w:eastAsia="Times New Roman" w:hAnsi="Times New Roman"/>
          <w:sz w:val="24"/>
          <w:szCs w:val="24"/>
        </w:rPr>
        <w:t xml:space="preserve"> El Documento 5 presenta la IA como un copiloto predictivo que aprende. En el código (comprobado el 6 de octubre de 2026 en utils/reposicion.js, utils/guardrailsIA.js, controllers/aiController.js y controllers/feedbackController.js): el motor matemático calcula las cantidades, la alerta y la urgencia; la IA (GPT-4o-mini) solo propone un ajuste porcentual acotado sobre la cantidad base y redacta la justificación (y, aparte, elige el tipo de promoción y clasifica el riesgo de un cliente que fía); el «aprendizaje» es un factor estadístico que corrige el punto de reorden, no un modelo que aprende; y el piloto de seis semanas se realiza con el modo básico, que no muestra la IA, de modo que su efecto no se evalúa en él. Plan 23: docs/planes/23_ia_que_aporta_valor_medida_y_con_privacidad.md.</w:t>
      </w:r>
    </w:p>
    <w:p>
      <w:pPr>
        <w:spacing w:after="120" w:line="300"/>
        <w:jc w:val="both"/>
      </w:pPr>
      <w:r>
        <w:rPr>
          <w:rFonts w:ascii="Times New Roman" w:cs="Times New Roman" w:eastAsia="Times New Roman" w:hAnsi="Times New Roman"/>
          <w:b/>
          <w:bCs/>
          <w:sz w:val="24"/>
          <w:szCs w:val="24"/>
        </w:rPr>
        <w:t xml:space="preserve">Texto base.</w:t>
      </w:r>
      <w:r>
        <w:rPr>
          <w:rFonts w:ascii="Times New Roman" w:cs="Times New Roman" w:eastAsia="Times New Roman" w:hAnsi="Times New Roman"/>
          <w:sz w:val="24"/>
          <w:szCs w:val="24"/>
        </w:rPr>
        <w:t xml:space="preserve"> Úselo como referencia: todos los textos de esta sección y de la Sección J dicen lo mismo con otras palabras. «StockPilot calcula las cantidades de reposición con un motor matemático propio: velocidad de venta de 7 y 30 días ajustada por un factor de tendencia, clasificación ABC, proyección de agotamiento y punto de reorden. Sobre la cantidad que calcula el motor, un modelo de lenguaje (GPT-4o-mini) puede, de forma opcional, proponer un ajuste porcentual acotado por reglas y redactar la justificación en lenguaje del tendero; cada ajuste queda registrado en un log de auditoría. El sistema funciona completo sin la IA: el punto de venta, la caja, el inventario, las alertas y la sugerencia de pedido no dependen de ella. Un factor de precisión calculado con el historial de órdenes corrige el punto de reorden de cada producto; su efecto sobre la precisión del sistema no se evaluó en el piloto y queda como trabajo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2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actual</w:t>
            </w:r>
          </w:p>
        </w:tc>
        <w:tc>
          <w:tcPr>
            <w:tcW w:type="dxa" w:w="52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correcto para pegar</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6 (título y párrafo)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6 — Motor de Predicción de Demanda… Integra el modelo GPT-4o-mini de OpenAI para generar ajustes porcentuales sobre las sugerencias matemáticas base, aplicando guardrails por clase ABC (A: ±100%, B: ±50%, C: ±20%).»</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6 — Motor de Reposición y Proyección de Agotamiento. Calcula la velocidad de venta promedio por producto en períodos de 7 y 30 días, identifica tendencias alcistas, bajistas o estables comparando ambas velocidades (factor acotado entre 0,5 y 2), proyecta la fecha estimada de agotamiento de cada producto y calcula la cantidad base a pedir como el stock objetivo (velocidad × tendencia × días de cobertura según la clase ABC —15, 30 y 45 días para A, B y C— más el stock de seguridad) menos el stock actual. El Punto de Reorden (ROP) se calcula con la fórmula (velocidad × lead_time) + stock_seguridad y se corrige con el factor de precisión del Módulo 14 cuando el producto tiene historial de evaluaciones. Este cálculo es matemático y determinista: no depende de la inteligencia artificial. De forma opcional, el modelo GPT-4o-mini de OpenAI puede proponer un ajuste porcentual sobre la cantidad base y redactar su justificación en lenguaje del tendero; el ajuste está acotado por reglas según la clase ABC (mínimo −50 % para todas las clases; máximo +100 % para A, +50 % para B y +20 % para C; no son límites simétricos). Cada ajuste queda registrado en un log de auditoría (archivo ai_audit.log y tabla Auditoria_IA) con el prompt, la respuesta y el razonamiento (RF-020 a RF-026).</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9, primera oración</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Dashboard muestra en tiempo real: total de artículos, valor total del inventario, alertas activas…, ventas acumuladas, recomendaciones del Asistente Estratégico IA con tendencia y nivel de confianza, y gráfico de barras…»</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Dashboard muestra en tiempo real: total de artículos, valor total del inventario, alertas activas con semáforo de color (rojo/amarillo/verde), ventas acumuladas y gráfico de barras del ritmo de ventas de los últimos 7 días. En el modo avanzado añade el Asistente Estratégico IA, que muestra recomendaciones de reposición con tendencia y nivel de confianza, y una sección de estrategias de venta; ambos son opcionales y no se muestran en el modo básico. El nivel de confianza se calcula con el historial de evaluaciones de cada producto (Módulo 14) y, mientras no existe historial, se muestra un valor fijo de 50 %.</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 Módulo 14 (párrafo; el título puede ser «Retroalimentación y Calibración»)</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«…calcula un factor de precisión por producto (ventas_reales / cantidad_sugerida)… Persiste el factor en la tabla Feedback_IA y lo aplica como multiplicador en las siguientes sugerencias, limitado entre 0.2 y 3.0.»</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Compara las cantidades sugeridas con las ventas posteriores a la aprobación de cada orden y calcula un factor de precisión por producto (ventas proyectadas / cantidad sugerida), con un período de evaluación adaptativo de max(lead_time × 2, 14) días en el que la proyección se pondera por los días transcurridos. El factor se acota entre 0,2 y 3,0 y se guarda en la tabla Feedback_IA. El motor usa el promedio de las últimas cinco evaluaciones de cada producto como multiplicador de su Punto de Reorden, es decir, para decidir cuándo un producto pasa a «por reponer» o a riesgo; no modifica directamente la cantidad base que calcula el motor. Muestra un dashboard de Aprendizaje con nivel de acierto global, gráfica de evolución mensual y tabla de rendimiento por producto. Incluye análisis de productos con tendencia bajista, sobrestock o vencimiento próximo para generar sugerencias de promoción comercial (descuento, combo, 2x1, liquidación): los candidatos se seleccionan con reglas y, de forma opcional, la IA propone el tipo, el descuento y el texto; un respaldo determinístico garantiza la cobertura del 100 % de los candidatos independientemente del modelo (RF-055 a RF-057, RF-065). Limitación vigente: la evaluación guarda y compara una sola cantidad por línea de orden, sin distinguir la que calculó el motor, la que ajustó la IA y la que finalmente pidió el dueño; separar las tres, para medir el aporte de cada una, está planificado (plan 23, frente 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 Conclusiones, tercer párrafo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integración del modelo GPT-4o-mini de OpenAI como componente de apoyo a la toma de decisiones evidenció que la inteligencia artificial generativa puede aportar valor real en contextos de negocio…»</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integración del modelo GPT-4o-mini de OpenAI como componente opcional de apoyo a la toma de decisiones mostró que un modelo de lenguaje puede proponer ajustes y justificaciones sobre las cantidades que calcula un motor matemático, siempre que esté sometido a restricciones bien definidas. El diseño de guardrails por clase ABC (mínimo −50 %; máximo +100 %, +50 % y +20 % para A, B y C) garantizó que los ajustes se mantuvieran dentro de rangos operativamente razonables. Dentro del alcance de este trabajo no se evaluó si esos ajustes mejoran el resultado frente al motor matemático solo; esa medición queda como trabajo futuro. El sistema de caché MD5 implementado para evitar llamadas redundantes a la API demostró que la eficiencia computacional y el control de costos deben considerarse desde el diseño, y no como una optimización posterior.</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 Conclusiones, cuarto párrafo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módulo de Retroalimentación IA y Aprendizaje Continuo comprobó que un sistema de inventario puede mejorar su precisión predictiva de forma autónoma con el tiempo…»</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módulo de Retroalimentación implementó un mecanismo de calibración: el factor de precisión por producto (ventas proyectadas / cantidad sugerida), acotado entre 0,2 y 3,0, corrige el punto de reorden en las evaluaciones siguientes. Es un mecanismo adaptativo sencillo, no un modelo de aprendizaje automático. Su efecto sobre la precisión del sistema no pudo comprobarse con datos reales dentro del alcance del piloto, por lo que se presenta como un mecanismo implementado y pendiente de validación, no como una mejora demostrada. Este resultado refuerza la importancia de diseñar sistemas que registren lo que sugieren y lo que ocurre, para poder medir si realmente aprenden del comportamiento del negocio.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 Recomendaciones (nuevas, después de «Ampliación del motor predictivo con modelos de series de tiempo»)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existe</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Evaluación del aporte de la inteligencia artificial. Para saber si el ajuste del modelo de lenguaje mejora las compras, se recomienda guardar por separado, en cada línea de orden, la cantidad calculada por el motor, la cantidad ajustada por la IA y la cantidad que finalmente pidió el dueño, y compararlas con las ventas reales del período. Con esos datos se puede decidir si la IA aporta valor, cuánto y en qué productos. Contexto para el ajuste y lectura de facturas. El ajuste de la IA solo recibe los mismos datos que el motor, por lo que no puede aportar información nueva. Se recomienda entregarle contexto que el motor no usa (calendario de quincenas, festivos y fechas comerciales, y vencimientos) y registrar ese contexto para poder medir su efecto. Una segunda línea de trabajo es leer fotografías de facturas de proveedores para registrar entradas de mercancía y cargar el catálogo inicial, enviando al modelo solo las líneas de producto, cantidad y precio, sin conservar la imagen y sin datos personales, de acuerdo con la Ley 1581 de 2012.</w:t>
            </w:r>
          </w:p>
        </w:tc>
      </w:tr>
    </w:tbl>
    <w:p>
      <w:pPr>
        <w:spacing w:after="60"/>
      </w:pPr>
    </w:p>
    <w:p>
      <w:r>
        <w:br w:type="page"/>
      </w:r>
    </w:p>
    <w:p>
      <w:pPr>
        <w:pStyle w:val="Heading2"/>
        <w:spacing w:after="120" w:before="120"/>
      </w:pPr>
      <w:r>
        <w:rPr>
          <w:rFonts w:ascii="Times New Roman" w:cs="Times New Roman" w:eastAsia="Times New Roman" w:hAnsi="Times New Roman"/>
          <w:b/>
          <w:bCs/>
          <w:sz w:val="26"/>
          <w:szCs w:val="26"/>
        </w:rPr>
        <w:t xml:space="preserve">I. Lo que cambió en el proyecto desde el 26 de septiembre y no está en el documento</w:t>
      </w:r>
    </w:p>
    <w:p>
      <w:pPr>
        <w:spacing w:after="120" w:line="300"/>
        <w:jc w:val="both"/>
      </w:pPr>
      <w:r>
        <w:rPr>
          <w:rFonts w:ascii="Times New Roman" w:cs="Times New Roman" w:eastAsia="Times New Roman" w:hAnsi="Times New Roman"/>
          <w:sz w:val="24"/>
          <w:szCs w:val="24"/>
        </w:rPr>
        <w:t xml:space="preserve">Todo lo siguiente está en el código desplegado o en las ramas del repositorio al 6 de octubre de 2026. Se agrega a las secciones indicadas.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Novedad</w:t>
            </w:r>
          </w:p>
        </w:tc>
        <w:tc>
          <w:tcPr>
            <w:tcW w:type="dxa" w:w="4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Qué es</w:t>
            </w:r>
          </w:p>
        </w:tc>
        <w:tc>
          <w:tcPr>
            <w:tcW w:type="dxa" w:w="27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Dónde documentarla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Modo básico y pantalla «¿Qué pido?» (6-oct, en producción)</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Menú reducido por usuario con un interruptor siempre visible al menú completo; las cuentas existentes conservan el menú completo y las nuevas nacen en modo básico. «¿Qué pido?» (solo Administrador) agrupa por proveedor lo que se está acabando con la cantidad que calcula el motor, y permite armar, aprobar y recibir pedidos. El modo básico no muestra la IA.</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Nuevo «Módulo 17» (texto abajo), 9.1, 10 y como respuesta al hallazgo H4 de la intervención (80 % no tiene tiempo para aprender).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Recepción de mercancía (regla decidida el 4-oct)</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 recibido se suma al inventario; una llegada parcial deja el faltante pendiente (o se cierra con faltante) y una llegada mayor a la pedida pide confirmación con un motivo que queda en el kardex. Reenviar el mismo total no duplica el stock.</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7 (texto abajo).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Cierre de caja con arqueo previo y desglose por método de pago</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cajero ve el arqueo antes de cerrar; el arqueo y el historial muestran lo vendido por método de pago; el historial de caja es solo del Administrador.</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3 (ya incluido en la Sección 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Seguridad</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Auditoría de autorización: las rutas de tienda y los egresos entre tiendas quedaron restringidos y hay una matriz de roles; límite de intentos del código de recuperación; se eliminó la ruta pública de la semilla de datos; respaldo diario cifrado en GitHub Actions con 14 días de retención (la restauración verificada el 3-oct es una afirmación de Luis, no la verifiqué).</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12 (Seguridad) y 9.5; plan 22, sección 1.4.</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App móvil nativa (Android, Flutter, repositorio aparte) y su backend</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 desarrollo y fuera del piloto: catálogo, carrito con escáner, cobro en efectivo con reintento seguro y cierre de caja. El backend suma sesión por canal (web y app a la vez), el canal de cada venta, la clave de idempotencia y un contrato de API probado. Se presentará en la sustentación (noviembre, fecha por confirmar).</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Recomendaciones / trabajo en curso y Anexos (docs/contrato_api_app_tendero.md).</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Privacidad de los datos enviados a la IA</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análisis de riesgo de un cliente ya no envía su nombre a OpenAI. Siguen pendientes el nombre del proveedor en el Consejero y el «motivo del dueño» de las promociones (plan 23, P23-06 y P23-07).</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Marco Legal (Ley 1581) y política de datos (Sección J). No afirme «sin datos personales» hasta cerrar esos pendientes.</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Piloto</w:t>
            </w:r>
          </w:p>
        </w:tc>
        <w:tc>
          <w:tcPr>
            <w:tcW w:type="dxa" w:w="4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piloto y la visita se hacen con la web en modo básico, sin IA visible; la app no va al piloto.</w:t>
            </w:r>
          </w:p>
        </w:tc>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(Sección J).</w:t>
            </w:r>
          </w:p>
        </w:tc>
      </w:tr>
    </w:tbl>
    <w:p>
      <w:pPr>
        <w:spacing w:after="60"/>
      </w:pPr>
    </w:p>
    <w:p>
      <w:pPr>
        <w:spacing w:after="120" w:line="300"/>
        <w:jc w:val="both"/>
      </w:pPr>
      <w:r>
        <w:rPr>
          <w:rFonts w:ascii="Times New Roman" w:cs="Times New Roman" w:eastAsia="Times New Roman" w:hAnsi="Times New Roman"/>
          <w:sz w:val="24"/>
          <w:szCs w:val="24"/>
        </w:rPr>
        <w:t xml:space="preserve">Texto propuesto para el nuevo «Módulo 17»:</w:t>
      </w:r>
    </w:p>
    <w:p>
      <w:pPr>
        <w:spacing w:after="120" w:line="300"/>
        <w:jc w:val="both"/>
      </w:pPr>
      <w:r>
        <w:rPr>
          <w:rFonts w:ascii="Times New Roman" w:cs="Times New Roman" w:eastAsia="Times New Roman" w:hAnsi="Times New Roman"/>
          <w:sz w:val="24"/>
          <w:szCs w:val="24"/>
        </w:rPr>
        <w:t xml:space="preserve">«Módulo 17 — Modo Básico y Pedido Guiado. Ofrece a cada usuario un menú reducido (vista general, punto de venta, catálogo, «¿Qué pido?», alertas y perfil), pensado para quien no tiene tiempo de aprender una herramienta nueva, con un interruptor siempre visible hacia el menú completo; la preferencia se guarda por usuario y las cuentas existentes conservan el menú completo. La pantalla «¿Qué pido?», solo para el Administrador, agrupa por proveedor los productos agotados, críticos o por reponer con la cantidad que calcula el motor de reposición, permite armar el pedido, aprobarlo o descartarlo, y registrar la mercancía cuando llega, incluidas la llegada parcial y la llegada de más con su motivo. El modo básico no muestra las funciones de inteligencia artificial.»</w:t>
      </w:r>
    </w:p>
    <w:p>
      <w:pPr>
        <w:spacing w:after="120" w:line="300"/>
        <w:jc w:val="both"/>
      </w:pPr>
      <w:r>
        <w:rPr>
          <w:rFonts w:ascii="Times New Roman" w:cs="Times New Roman" w:eastAsia="Times New Roman" w:hAnsi="Times New Roman"/>
          <w:sz w:val="24"/>
          <w:szCs w:val="24"/>
        </w:rPr>
        <w:t xml:space="preserve">Texto para agregar al final del Módulo 7: «Permite registrar la recepción de mercancía de una orden aprobada: lo recibido se suma al inventario, una llegada parcial deja el faltante pendiente (o lo cierra con faltante) y una llegada mayor a la pedida exige confirmación con un motivo, que queda en el kardex.»</w:t>
      </w:r>
    </w:p>
    <w:p>
      <w:r>
        <w:br w:type="page"/>
      </w:r>
    </w:p>
    <w:p>
      <w:pPr>
        <w:pStyle w:val="Heading2"/>
        <w:spacing w:after="120" w:before="120"/>
      </w:pPr>
      <w:r>
        <w:rPr>
          <w:rFonts w:ascii="Times New Roman" w:cs="Times New Roman" w:eastAsia="Times New Roman" w:hAnsi="Times New Roman"/>
          <w:b/>
          <w:bCs/>
          <w:sz w:val="26"/>
          <w:szCs w:val="26"/>
        </w:rPr>
        <w:t xml:space="preserve">J. Correcciones a los documentos que se integran en los capítulos 13 a 17</w:t>
      </w:r>
    </w:p>
    <w:p>
      <w:pPr>
        <w:spacing w:after="120" w:line="300"/>
        <w:jc w:val="both"/>
      </w:pPr>
      <w:r>
        <w:rPr>
          <w:rFonts w:ascii="Times New Roman" w:cs="Times New Roman" w:eastAsia="Times New Roman" w:hAnsi="Times New Roman"/>
          <w:sz w:val="24"/>
          <w:szCs w:val="24"/>
        </w:rPr>
        <w:t xml:space="preserve">Al integrar el Plan de Negocio y el documento de Intervención y Viabilidad en este documento (Sección E), aplique estas correcciones sobre la IA y el modo básico. Los números de sección son los de cada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Documento y sección</w:t>
            </w:r>
          </w:p>
        </w:tc>
        <w:tc>
          <w:tcPr>
            <w:tcW w:type="dxa" w:w="25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actual</w:t>
            </w:r>
          </w:p>
        </w:tc>
        <w:tc>
          <w:tcPr>
            <w:tcW w:type="dxa" w:w="46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Texto correcto para pegar</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5.4 (último párrafo)</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inteligencia artificial predictiva no fue una necesidad expresada por los tenderos, sino una decisión estratégica del equipo… y su valor percibido se medirá en el piloto.»</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inteligencia artificial no fue una necesidad expresada por los tenderos, sino una decisión estratégica del equipo para diferenciar el producto. Las funcionalidades que sí priorizaron (registro automatizado, alertas de caducidad y de stock mínimo) las resuelve el motor matemático de StockPilot, que calcula qué pedir y cuánto con las ventas y el stock de cada tienda. Por eso el producto se comunica por su resultado («StockPilot le dice qué pedir y cuánto») y no por la tecnología. La IA se ofrece como una capa opcional, disponible en el modo avanzado; su valor percibido no se evalúa en el piloto de seis semanas, que se realiza con el modo básico (sin IA), y se evaluará después, con datos reales.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tabla 4.1 (solo la fila «Predicción de demanda»)</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Sí (motor matemático + IA)</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Sí (motor matemático; ajuste opcional con IA)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7.1 (Características técnicas)</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«Motor de IA: GPT-4o-mini con límites por clase ABC y caché»</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Motor de reposición propio (clasificación ABC, punto de reorden y proyección de agotamiento) y asistente de IA opcional (GPT-4o-mini) con límites por clase ABC y caché.</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11.1 (punto «Motor de IA»)</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«Motor de IA: integración con la API de OpenAI (GPT-4o-mini), complementada con clasificación ABC y caché…»</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Motor de reposición: cálculo propio (velocidad de venta, clasificación ABC, punto de reorden y proyección de agotamiento), complementado con un asistente de IA opcional (API de OpenAI, GPT-4o-mini) con límites por clase ABC y caché para reducir el consumo de tokens.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18.2 (fila Comercial: «Baja adopción»)</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«…modo básico con 4 acciones…»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 de usabilidad antes del lanzamiento; modo básico ya implementado (menú reducido con vender, catálogo, pedir y recibir, y alertas, con interruptor al menú completo); incorporación asistida (el equipo carga el catálogo); medición de la activación en la prueba gratuita; contratación solo cuando la carga lo exija.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18.2 (fila Comercial: «Competidor con capital»)</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bucle de aprendizaje mejora con el uso…»</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Mejora continua basada en el piloto; calibración del motor con el historial de cada tienda (por evaluar con datos reales); registro de marca.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18.2 (fila Técnico: «API de OpenAI no disponible»)</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Probabilidad Media (3/5), impacto Alto (4/5)</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Probabilidad Baja (2/5), impacto Medio (3/5) [valores propuestos; ajústelos]. Mitigación: el sistema funciona completo sin IA (punto de venta, alertas, inventario y sugerencia de pedido con cálculos matemáticos); caché de respuestas y evaluación de proveedores alternativos.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v2, 18.2 (fila Normativo: Ley 1581)</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(2/5), impacto Medio (3/5); «Política de tratamiento de datos publicada antes de recibir datos reales…»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Riesgo: incumplimiento de protección de datos (Ley 1581), incluido el envío de datos a un servicio de IA de terceros. Probabilidad Media (3/5), impacto Alto (4/5) [valores propuestos; ajústelos]. Mitigación: política de tratamiento de datos publicada y corregida para decir exactamente qué se envía a OpenAI; minimización de lo que se envía (sin nombres de clientes ni de proveedores); IA opcional, apagada por defecto y con aviso aceptado por el dueño; revisión jurídica [Verificar con asesoría jurídica]; confirmación del tratamiento de IVA con el contador.</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de Negocio original (Plan de Negocio_ StockPilot.md)</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núcleo diferenciador… inteligencia artificial predictiva» (línea 40); «Aprende de sus propias predicciones» (46); 28 % y 22 % (128-129); «85 % de interés en IA» (223)</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se corrige: archívelo como obsoleto o marque en su primera página que lo reemplaza el Plan de Negocio v2. Sus afirmaciones sobre la IA y esas cifras no tienen respaldo (los documentos del equipo ya las marcan así); no las copie.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descripción del sistema (última oración del párrafo «StockPilot es una aplicación web…»)</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«Sobre esos cálculos, un modelo de lenguaje (GPT-4o-mini) redacta recomendaciones en lenguaje natural con límites por clase ABC, y un ciclo de retroalimentación compara lo sugerido con lo vendido para ajustar las sugerencias siguientes.»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Sobre esos cálculos, un modelo de lenguaje (GPT-4o-mini) puede, de forma opcional, proponer un ajuste porcentual acotado por clase ABC y redactar la justificación en lenguaje natural. Un ciclo de retroalimentación compara lo sugerido con lo vendido y corrige el punto de reorden de cada producto. El sistema funciona completo sin la IA, y el piloto se realiza con el modo básico, que no la muestra.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«Significado» de la encuesta (última oración)</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«…Por eso la propuesta de valor debe comunicarse por su resultado… y su valor percibido debe medirse en el piloto.»</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Por eso la propuesta de valor debe comunicarse por su resultado («el sistema le dice qué pedir y cuánto») y no por la tecnología. El valor percibido de la IA no se evalúa en el piloto de seis semanas, que se realiza con el modo básico (sin IA); se evaluará después, con datos reales y una vez ampliada la evaluación de precisión.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tabla 11, fila H3</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IA debe probarse en el piloto como valor agregado, no presentarse como necesidad validada.»</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IA se ofrece como capa opcional (modo avanzado) y no se evalúa en el piloto. Se evaluará después, midiendo si sus ajustes mejoran las compras frente al motor matemático solo.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tabla 11, fila H4</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 necesita un modo básico (vender, ver alertas, pedir) que oculte los módulos avanzados hasta que el usuario los necesite, más una capacitación corta.»</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Modo básico implementado (6-oct-2026): menú reducido con vista general, punto de venta, catálogo, «¿Qué pido?» (solo Administrador), alertas y perfil, que no muestra las funciones de IA y tiene un interruptor al menú completo. Falta validarlo en la prueba de usabilidad, junto con una capacitación corta.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tabla 14 (FODA), tercera fila</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Fortaleza: «…con IA acotada por reglas y auditable.» Debilidad: «El valor percibido del diferenciador (IA predictiva, decisión estratégica del equipo) aún no se ha medido con tenderos.»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Fortaleza: Base matemática sólida (ABC, punto de reorden, velocidad de venta); la IA es una capa opcional, acotada por reglas y auditable. Debilidad: El valor percibido de la IA no se medirá en el piloto (se hace con el modo básico) y su efecto sobre las cantidades no se ha evaluado con datos reales.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Intervención y Viabilidad, validación técnica (párrafo nuevo, después de la fila «Operación de la IA»)</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existe</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Límite de la validación de la IA. El registro de 193 decisiones demuestra que la IA opera y que sus decisiones son trazables; no demuestra que mejore las compras. Medir ese aporte exige comparar, por producto, lo que calculó el motor, lo que ajustó la IA y lo que pidió el dueño con las ventas reales, y la evaluación de precisión actual no separa esas tres cantidades. Esa medición queda como trabajo posterior al piloto.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Herramientas Tecnológicas v2, «Herramienta en la Analítica de Datos»</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«…combinado con IA generativa (OpenAI GPT-4o-mini) para recomendaciones, y Recharts para la visualización en el dashboard.»</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Motor de reposición propio (utils/reposicion.js): velocidad de venta de 30 días ajustada por un factor de tendencia (7 frente a 30 días, acotado entre 0,5 y 2), clasificación ABC/Pareto, proyección de agotamiento y punto de reorden (ROP); complementado de forma opcional con IA generativa (OpenAI GPT-4o-mini) para ajustar y explicar las recomendaciones, sugerir promociones y evaluar el riesgo de los clientes que fían, y Recharts para la visualización en el dashboard.</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Herramientas Tecnológicas v2, «API REST utilizadas»</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«…OpenAI (GPT-4o-mini) para recomendaciones de compra, promociones y riesgo de fiados, y Resend…»</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…OpenAI (GPT-4o-mini), de uso opcional, para ajustar y explicar recomendaciones de compra, sugerir promociones y evaluar el riesgo de fiados, y Resend para el envío de correos.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Política de datos (código: frontend/src/pages/PoliticaDatosPage.jsx, líneas 57 a 62) — condicional</w:t>
            </w:r>
          </w:p>
        </w:tc>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«…un resumen numérico de su inventario (sin datos personales) se envía a la API de OpenAI…»</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No lo cambie todavía:</w:t>
            </w:r>
            <w:r>
              <w:rPr>
                <w:rFonts w:ascii="Times New Roman" w:cs="Times New Roman" w:eastAsia="Times New Roman" w:hAnsi="Times New Roman"/>
                <w:b w:val="false"/>
                <w:bCs w:val="false"/>
                <w:sz w:val="19"/>
                <w:szCs w:val="19"/>
              </w:rPr>
              <w:t xml:space="preserve"> el nombre del proveedor en el Consejero y el «motivo del dueño» de las promociones aún viajan a OpenAI (P23-06 y P23-07). Úselo solo después de cerrar esos pendientes y de la revisión jurídica: «Para las funciones opcionales de inteligencia artificial, y solo cuando el administrador las activa, StockPilot envía a la API de OpenAI (Estados Unidos) un resumen del inventario: nombres de productos, existencias, cantidades y ventas agregadas, sin nombres, correos, celulares ni contraseñas de personas. [Verificar con asesoría jurídica: fundamento de la transmisión internacional, retención de los datos por parte de OpenAI y uso de los datos enviados por API.]»</w:t>
            </w:r>
          </w:p>
        </w:tc>
      </w:tr>
    </w:tbl>
    <w:p>
      <w:pPr>
        <w:spacing w:after="60"/>
      </w:pPr>
    </w:p>
    <w:p>
      <w:pPr>
        <w:pStyle w:val="Heading2"/>
        <w:spacing w:after="120" w:before="120"/>
      </w:pPr>
      <w:r>
        <w:rPr>
          <w:rFonts w:ascii="Times New Roman" w:cs="Times New Roman" w:eastAsia="Times New Roman" w:hAnsi="Times New Roman"/>
          <w:b/>
          <w:bCs/>
          <w:sz w:val="26"/>
          <w:szCs w:val="26"/>
        </w:rPr>
        <w:t xml:space="preserve">K. Verificaciones pendientes</w:t>
      </w:r>
    </w:p>
    <w:p>
      <w:pPr>
        <w:spacing w:after="120" w:line="300"/>
        <w:jc w:val="both"/>
      </w:pPr>
      <w:r>
        <w:rPr>
          <w:rFonts w:ascii="Times New Roman" w:cs="Times New Roman" w:eastAsia="Times New Roman" w:hAnsi="Times New Roman"/>
          <w:sz w:val="24"/>
          <w:szCs w:val="24"/>
        </w:rPr>
        <w:t xml:space="preserve">Quedan nueve cosas que no pude cerrar: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Docente.</w:t>
      </w:r>
      <w:r>
        <w:rPr>
          <w:rFonts w:ascii="Times New Roman" w:cs="Times New Roman" w:eastAsia="Times New Roman" w:hAnsi="Times New Roman"/>
          <w:sz w:val="24"/>
          <w:szCs w:val="24"/>
        </w:rPr>
        <w:t xml:space="preserve"> Si permite cambiar el título y los objetivos. Si cambia el título, la referencia «Pérez González, E., Diuche Peña, L. A. y Espinosa Esparza, M. A. (2026a)…» de Intervención y Viabilidad debe coincidir exactamente con el nuevo título.</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Revisión jurídica</w:t>
      </w:r>
      <w:r>
        <w:rPr>
          <w:rFonts w:ascii="Times New Roman" w:cs="Times New Roman" w:eastAsia="Times New Roman" w:hAnsi="Times New Roman"/>
          <w:sz w:val="24"/>
          <w:szCs w:val="24"/>
        </w:rPr>
        <w:t xml:space="preserve"> de lo que se envía a OpenAI: responsable y encargado del tratamiento, transmisión internacional, registro de bases de datos y términos vigentes de OpenAI. El equipo no es asesor jurídico.</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Costo de la API de OpenAI</w:t>
      </w:r>
      <w:r>
        <w:rPr>
          <w:rFonts w:ascii="Times New Roman" w:cs="Times New Roman" w:eastAsia="Times New Roman" w:hAnsi="Times New Roman"/>
          <w:sz w:val="24"/>
          <w:szCs w:val="24"/>
        </w:rPr>
        <w:t xml:space="preserve"> del modelo financiero ($1.250 por cliente activo al mes): supone que todos los clientes usan la IA; es una cota superior si es opcional. Actualizarlo es decisión suya.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Ubicación de los pasajes.</w:t>
      </w:r>
      <w:r>
        <w:rPr>
          <w:rFonts w:ascii="Times New Roman" w:cs="Times New Roman" w:eastAsia="Times New Roman" w:hAnsi="Times New Roman"/>
          <w:sz w:val="24"/>
          <w:szCs w:val="24"/>
        </w:rPr>
        <w:t xml:space="preserve"> Se ubicaron en textos extraídos de los .docx, no en Word ni en Google Docs: confirme cada uno al editar.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Versión de Google Docs.</w:t>
      </w:r>
      <w:r>
        <w:rPr>
          <w:rFonts w:ascii="Times New Roman" w:cs="Times New Roman" w:eastAsia="Times New Roman" w:hAnsi="Times New Roman"/>
          <w:sz w:val="24"/>
          <w:szCs w:val="24"/>
        </w:rPr>
        <w:t xml:space="preserve"> La columna «Texto actual» corresponde a la exportación del 26 de septiembre; si alguien editó el documento en el Drive desde entonces, algunos textos pueden no coincidir.</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Cifras de pruebas de otros documentos.</w:t>
      </w:r>
      <w:r>
        <w:rPr>
          <w:rFonts w:ascii="Times New Roman" w:cs="Times New Roman" w:eastAsia="Times New Roman" w:hAnsi="Times New Roman"/>
          <w:sz w:val="24"/>
          <w:szCs w:val="24"/>
        </w:rPr>
        <w:t xml:space="preserve"> El Plan v2 (149) y Intervención (243) están desactualizados; al 6-oct-2026 el backend tiene 287 pruebas unitarias y 407 de integración (regenere con npm run test:evidence).</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Vulnerabilidades mitigadas.</w:t>
      </w:r>
      <w:r>
        <w:rPr>
          <w:rFonts w:ascii="Times New Roman" w:cs="Times New Roman" w:eastAsia="Times New Roman" w:hAnsi="Times New Roman"/>
          <w:sz w:val="24"/>
          <w:szCs w:val="24"/>
        </w:rPr>
        <w:t xml:space="preserve"> Recontar los hallazgos de la auditoría de autorización (plan 22, sección 1.4) antes de recalcular la densidad de defectos.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Base de las líneas de código.</w:t>
      </w:r>
      <w:r>
        <w:rPr>
          <w:rFonts w:ascii="Times New Roman" w:cs="Times New Roman" w:eastAsia="Times New Roman" w:hAnsi="Times New Roman"/>
          <w:sz w:val="24"/>
          <w:szCs w:val="24"/>
        </w:rPr>
        <w:t xml:space="preserve"> No sé con qué criterio se midieron los 26,5 KLOC anteriores; declare el método (aquí: .js, .jsx, .cjs y .mjs, sin node_modules, dist ni coverage).</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Nuevos módulos.</w:t>
      </w:r>
      <w:r>
        <w:rPr>
          <w:rFonts w:ascii="Times New Roman" w:cs="Times New Roman" w:eastAsia="Times New Roman" w:hAnsi="Times New Roman"/>
          <w:sz w:val="24"/>
          <w:szCs w:val="24"/>
        </w:rPr>
        <w:t xml:space="preserve"> El modo básico y el pedido guiado no están en los 15 módulos del Documento 5; agréguelos solo si el docente lo permite (Sección 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del Documento de Práctica de Ingeniería 5 (v2)</dc:title>
  <dc:creator>Equipo StockPilot</dc:creator>
  <cp:lastModifiedBy>Un-named</cp:lastModifiedBy>
  <cp:revision>1</cp:revision>
  <dcterms:created xsi:type="dcterms:W3CDTF">2026-10-06T12:00:00.000Z</dcterms:created>
  <dcterms:modified xsi:type="dcterms:W3CDTF">2026-10-06T12:00:00.000Z</dcterms:modified>
</cp:coreProperties>
</file>

<file path=docProps/custom.xml><?xml version="1.0" encoding="utf-8"?>
<Properties xmlns="http://schemas.openxmlformats.org/officeDocument/2006/custom-properties" xmlns:vt="http://schemas.openxmlformats.org/officeDocument/2006/docPropsVTypes"/>
</file>