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15C51" w14:textId="77777777" w:rsidR="00F7366B" w:rsidRDefault="00A96703" w:rsidP="006B2947">
      <w:pPr>
        <w:jc w:val="center"/>
        <w:rPr>
          <w:b/>
          <w:sz w:val="44"/>
          <w:szCs w:val="44"/>
        </w:rPr>
      </w:pPr>
      <w:r>
        <w:rPr>
          <w:b/>
          <w:noProof/>
          <w:sz w:val="44"/>
          <w:szCs w:val="44"/>
        </w:rPr>
        <w:drawing>
          <wp:anchor distT="0" distB="0" distL="114300" distR="114300" simplePos="0" relativeHeight="251657216" behindDoc="1" locked="0" layoutInCell="1" allowOverlap="1" wp14:anchorId="5D4D3C59" wp14:editId="3788EBD2">
            <wp:simplePos x="0" y="0"/>
            <wp:positionH relativeFrom="column">
              <wp:posOffset>-658571</wp:posOffset>
            </wp:positionH>
            <wp:positionV relativeFrom="paragraph">
              <wp:posOffset>-592531</wp:posOffset>
            </wp:positionV>
            <wp:extent cx="4965065" cy="1375475"/>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m_bl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5065" cy="1375475"/>
                    </a:xfrm>
                    <a:prstGeom prst="rect">
                      <a:avLst/>
                    </a:prstGeom>
                  </pic:spPr>
                </pic:pic>
              </a:graphicData>
            </a:graphic>
            <wp14:sizeRelH relativeFrom="page">
              <wp14:pctWidth>0</wp14:pctWidth>
            </wp14:sizeRelH>
            <wp14:sizeRelV relativeFrom="page">
              <wp14:pctHeight>0</wp14:pctHeight>
            </wp14:sizeRelV>
          </wp:anchor>
        </w:drawing>
      </w:r>
    </w:p>
    <w:p w14:paraId="197F612D" w14:textId="77777777" w:rsidR="00A96703" w:rsidRDefault="00A96703" w:rsidP="00F7366B">
      <w:pPr>
        <w:jc w:val="center"/>
        <w:rPr>
          <w:b/>
          <w:sz w:val="44"/>
          <w:szCs w:val="44"/>
        </w:rPr>
      </w:pPr>
    </w:p>
    <w:p w14:paraId="2A8EA985" w14:textId="77777777" w:rsidR="0058299C" w:rsidRDefault="0058299C" w:rsidP="00F7366B">
      <w:pPr>
        <w:jc w:val="center"/>
        <w:rPr>
          <w:b/>
          <w:sz w:val="44"/>
          <w:szCs w:val="44"/>
        </w:rPr>
      </w:pPr>
    </w:p>
    <w:p w14:paraId="05E3BDFF" w14:textId="77777777" w:rsidR="0058299C" w:rsidRDefault="0058299C" w:rsidP="00F7366B">
      <w:pPr>
        <w:jc w:val="center"/>
        <w:rPr>
          <w:b/>
          <w:sz w:val="44"/>
          <w:szCs w:val="44"/>
        </w:rPr>
      </w:pPr>
    </w:p>
    <w:p w14:paraId="0CFC9391" w14:textId="77777777" w:rsidR="0058299C" w:rsidRDefault="0058299C" w:rsidP="00F7366B">
      <w:pPr>
        <w:jc w:val="center"/>
        <w:rPr>
          <w:b/>
          <w:sz w:val="44"/>
          <w:szCs w:val="44"/>
        </w:rPr>
      </w:pPr>
    </w:p>
    <w:p w14:paraId="439CBB13" w14:textId="7EC377AB" w:rsidR="006626BA" w:rsidRDefault="0058299C" w:rsidP="00F7366B">
      <w:pPr>
        <w:jc w:val="center"/>
        <w:rPr>
          <w:b/>
          <w:sz w:val="48"/>
          <w:szCs w:val="48"/>
        </w:rPr>
      </w:pPr>
      <w:r>
        <w:rPr>
          <w:b/>
          <w:sz w:val="48"/>
          <w:szCs w:val="48"/>
        </w:rPr>
        <w:t xml:space="preserve">Seasonal Food </w:t>
      </w:r>
      <w:r w:rsidR="00227A2D">
        <w:rPr>
          <w:b/>
          <w:sz w:val="48"/>
          <w:szCs w:val="48"/>
        </w:rPr>
        <w:t>Expenditure Score</w:t>
      </w:r>
    </w:p>
    <w:p w14:paraId="457BEC8E" w14:textId="77777777" w:rsidR="00A22319" w:rsidRPr="00205F05" w:rsidRDefault="00A22319" w:rsidP="00F7366B">
      <w:pPr>
        <w:jc w:val="center"/>
        <w:rPr>
          <w:b/>
          <w:sz w:val="48"/>
          <w:szCs w:val="48"/>
        </w:rPr>
      </w:pPr>
    </w:p>
    <w:p w14:paraId="4EB21F23" w14:textId="3E2EDC87" w:rsidR="00205F05" w:rsidRPr="00A22319" w:rsidRDefault="00A22319" w:rsidP="00A22319">
      <w:pPr>
        <w:jc w:val="center"/>
        <w:rPr>
          <w:b/>
          <w:sz w:val="48"/>
          <w:szCs w:val="48"/>
        </w:rPr>
      </w:pPr>
      <w:r w:rsidRPr="00A22319">
        <w:rPr>
          <w:b/>
          <w:sz w:val="48"/>
          <w:szCs w:val="48"/>
        </w:rPr>
        <w:t>Methodological note</w:t>
      </w:r>
    </w:p>
    <w:p w14:paraId="65415E24" w14:textId="77777777" w:rsidR="00445D6E" w:rsidRDefault="00445D6E" w:rsidP="00F7366B">
      <w:pPr>
        <w:jc w:val="center"/>
        <w:rPr>
          <w:b/>
          <w:sz w:val="44"/>
          <w:szCs w:val="44"/>
        </w:rPr>
      </w:pPr>
    </w:p>
    <w:p w14:paraId="219D9DCF" w14:textId="77777777" w:rsidR="00640EB2" w:rsidRDefault="00640EB2" w:rsidP="00F7366B">
      <w:pPr>
        <w:jc w:val="center"/>
        <w:rPr>
          <w:b/>
          <w:sz w:val="44"/>
          <w:szCs w:val="44"/>
        </w:rPr>
      </w:pPr>
    </w:p>
    <w:p w14:paraId="22615F14" w14:textId="77777777" w:rsidR="00205F05" w:rsidRDefault="00205F05" w:rsidP="00F7366B">
      <w:pPr>
        <w:jc w:val="center"/>
        <w:rPr>
          <w:b/>
          <w:sz w:val="44"/>
          <w:szCs w:val="44"/>
        </w:rPr>
      </w:pPr>
    </w:p>
    <w:p w14:paraId="0C89422F" w14:textId="77777777" w:rsidR="006B2947" w:rsidRDefault="00205F05" w:rsidP="00205F05">
      <w:pPr>
        <w:jc w:val="center"/>
        <w:rPr>
          <w:b/>
          <w:sz w:val="28"/>
          <w:szCs w:val="28"/>
        </w:rPr>
      </w:pPr>
      <w:r>
        <w:rPr>
          <w:b/>
          <w:sz w:val="28"/>
          <w:szCs w:val="28"/>
        </w:rPr>
        <w:t>World Food Programme</w:t>
      </w:r>
      <w:r w:rsidR="00F7366B" w:rsidRPr="00F7366B">
        <w:rPr>
          <w:b/>
          <w:sz w:val="28"/>
          <w:szCs w:val="28"/>
        </w:rPr>
        <w:t xml:space="preserve"> - Policy and Programme Division </w:t>
      </w:r>
    </w:p>
    <w:p w14:paraId="08BCB63B" w14:textId="3E0A1A46" w:rsidR="00F7366B" w:rsidRPr="00F7366B" w:rsidRDefault="00F7366B" w:rsidP="00205F05">
      <w:pPr>
        <w:jc w:val="center"/>
        <w:rPr>
          <w:b/>
          <w:sz w:val="28"/>
          <w:szCs w:val="28"/>
        </w:rPr>
      </w:pPr>
      <w:r w:rsidRPr="00F7366B">
        <w:rPr>
          <w:b/>
          <w:sz w:val="28"/>
          <w:szCs w:val="28"/>
        </w:rPr>
        <w:t>Analysis &amp; Trends Service</w:t>
      </w:r>
      <w:r w:rsidR="00205F05">
        <w:rPr>
          <w:b/>
          <w:sz w:val="28"/>
          <w:szCs w:val="28"/>
        </w:rPr>
        <w:t xml:space="preserve"> - </w:t>
      </w:r>
      <w:r w:rsidRPr="00F7366B">
        <w:rPr>
          <w:b/>
          <w:sz w:val="28"/>
          <w:szCs w:val="28"/>
        </w:rPr>
        <w:t>Economic and Market Analysis Unit</w:t>
      </w:r>
    </w:p>
    <w:p w14:paraId="4AA7AEE7" w14:textId="77777777" w:rsidR="00F7366B" w:rsidRDefault="00F7366B" w:rsidP="00F7366B">
      <w:pPr>
        <w:jc w:val="center"/>
        <w:rPr>
          <w:b/>
          <w:sz w:val="28"/>
          <w:szCs w:val="28"/>
        </w:rPr>
      </w:pPr>
    </w:p>
    <w:p w14:paraId="12FBC33B" w14:textId="77777777" w:rsidR="00F7366B" w:rsidRDefault="00F7366B" w:rsidP="00F7366B">
      <w:pPr>
        <w:jc w:val="center"/>
        <w:rPr>
          <w:b/>
          <w:sz w:val="28"/>
          <w:szCs w:val="28"/>
        </w:rPr>
      </w:pPr>
    </w:p>
    <w:p w14:paraId="5F7D6342" w14:textId="295A7CC4" w:rsidR="00F7366B" w:rsidRDefault="00A22319" w:rsidP="00F7366B">
      <w:pPr>
        <w:jc w:val="center"/>
        <w:rPr>
          <w:b/>
          <w:sz w:val="28"/>
          <w:szCs w:val="28"/>
        </w:rPr>
      </w:pPr>
      <w:r>
        <w:rPr>
          <w:b/>
          <w:sz w:val="28"/>
          <w:szCs w:val="28"/>
        </w:rPr>
        <w:t>August</w:t>
      </w:r>
      <w:r w:rsidR="00F7366B">
        <w:rPr>
          <w:b/>
          <w:sz w:val="28"/>
          <w:szCs w:val="28"/>
        </w:rPr>
        <w:t xml:space="preserve"> </w:t>
      </w:r>
      <w:r w:rsidR="0058299C">
        <w:rPr>
          <w:b/>
          <w:sz w:val="28"/>
          <w:szCs w:val="28"/>
        </w:rPr>
        <w:t>2</w:t>
      </w:r>
      <w:r w:rsidR="00F9068E">
        <w:rPr>
          <w:b/>
          <w:sz w:val="28"/>
          <w:szCs w:val="28"/>
        </w:rPr>
        <w:t>6</w:t>
      </w:r>
      <w:r w:rsidR="00F7366B">
        <w:rPr>
          <w:b/>
          <w:sz w:val="28"/>
          <w:szCs w:val="28"/>
        </w:rPr>
        <w:t>, 2016</w:t>
      </w:r>
    </w:p>
    <w:p w14:paraId="6855B6FD" w14:textId="77777777" w:rsidR="00F7366B" w:rsidRDefault="00F7366B" w:rsidP="00F7366B">
      <w:pPr>
        <w:jc w:val="center"/>
        <w:rPr>
          <w:b/>
          <w:sz w:val="28"/>
          <w:szCs w:val="28"/>
        </w:rPr>
      </w:pPr>
    </w:p>
    <w:p w14:paraId="0286D0CE" w14:textId="77777777" w:rsidR="00F7366B" w:rsidRPr="00F7366B" w:rsidRDefault="00F7366B" w:rsidP="00F7366B">
      <w:pPr>
        <w:jc w:val="center"/>
        <w:rPr>
          <w:b/>
          <w:sz w:val="28"/>
          <w:szCs w:val="28"/>
        </w:rPr>
      </w:pPr>
      <w:r w:rsidRPr="00F7366B">
        <w:rPr>
          <w:b/>
          <w:sz w:val="28"/>
          <w:szCs w:val="28"/>
        </w:rPr>
        <w:tab/>
      </w:r>
      <w:r w:rsidRPr="00F7366B">
        <w:rPr>
          <w:b/>
          <w:sz w:val="28"/>
          <w:szCs w:val="28"/>
        </w:rPr>
        <w:tab/>
        <w:t xml:space="preserve">   </w:t>
      </w:r>
    </w:p>
    <w:p w14:paraId="24E56A08" w14:textId="7AB04CD4" w:rsidR="00F7366B" w:rsidRPr="0058299C" w:rsidRDefault="00F7366B" w:rsidP="0058299C">
      <w:pPr>
        <w:rPr>
          <w:rStyle w:val="Hyperlink"/>
          <w:b/>
          <w:color w:val="auto"/>
          <w:sz w:val="28"/>
          <w:szCs w:val="28"/>
          <w:u w:val="none"/>
        </w:rPr>
      </w:pPr>
      <w:r w:rsidRPr="00F7366B">
        <w:rPr>
          <w:b/>
          <w:sz w:val="28"/>
          <w:szCs w:val="28"/>
        </w:rPr>
        <w:t>C</w:t>
      </w:r>
      <w:r>
        <w:rPr>
          <w:b/>
          <w:sz w:val="28"/>
          <w:szCs w:val="28"/>
        </w:rPr>
        <w:t>ontact</w:t>
      </w:r>
      <w:r w:rsidRPr="00F7366B">
        <w:rPr>
          <w:b/>
          <w:sz w:val="28"/>
          <w:szCs w:val="28"/>
        </w:rPr>
        <w:t>:</w:t>
      </w:r>
      <w:r>
        <w:rPr>
          <w:b/>
          <w:sz w:val="28"/>
          <w:szCs w:val="28"/>
        </w:rPr>
        <w:t xml:space="preserve"> </w:t>
      </w:r>
      <w:r>
        <w:rPr>
          <w:b/>
          <w:sz w:val="28"/>
          <w:szCs w:val="28"/>
        </w:rPr>
        <w:tab/>
      </w:r>
      <w:r w:rsidRPr="0058299C">
        <w:rPr>
          <w:b/>
          <w:sz w:val="28"/>
          <w:szCs w:val="28"/>
        </w:rPr>
        <w:t xml:space="preserve">Lucia Latino </w:t>
      </w:r>
      <w:r w:rsidR="00A96703" w:rsidRPr="0058299C">
        <w:rPr>
          <w:b/>
          <w:sz w:val="28"/>
          <w:szCs w:val="28"/>
        </w:rPr>
        <w:t>(</w:t>
      </w:r>
      <w:hyperlink r:id="rId9" w:history="1">
        <w:r w:rsidR="00205F05" w:rsidRPr="0058299C">
          <w:rPr>
            <w:rStyle w:val="Hyperlink"/>
            <w:b/>
            <w:color w:val="auto"/>
            <w:sz w:val="28"/>
            <w:szCs w:val="28"/>
            <w:u w:val="none"/>
          </w:rPr>
          <w:t>lucia.latino@wfp.org</w:t>
        </w:r>
      </w:hyperlink>
      <w:r w:rsidR="00A96703" w:rsidRPr="0058299C">
        <w:rPr>
          <w:rStyle w:val="Hyperlink"/>
          <w:b/>
          <w:color w:val="auto"/>
          <w:sz w:val="28"/>
          <w:szCs w:val="28"/>
          <w:u w:val="none"/>
        </w:rPr>
        <w:t>)</w:t>
      </w:r>
    </w:p>
    <w:p w14:paraId="102181C7" w14:textId="77777777" w:rsidR="00A96703" w:rsidRPr="0058299C" w:rsidRDefault="00A96703" w:rsidP="0058299C">
      <w:pPr>
        <w:rPr>
          <w:rStyle w:val="Hyperlink"/>
          <w:b/>
          <w:color w:val="auto"/>
          <w:sz w:val="28"/>
          <w:szCs w:val="28"/>
          <w:u w:val="none"/>
          <w:lang w:val="de-DE"/>
        </w:rPr>
      </w:pPr>
      <w:r w:rsidRPr="0058299C">
        <w:rPr>
          <w:rStyle w:val="Hyperlink"/>
          <w:b/>
          <w:color w:val="auto"/>
          <w:sz w:val="28"/>
          <w:szCs w:val="28"/>
          <w:u w:val="none"/>
        </w:rPr>
        <w:tab/>
      </w:r>
      <w:r w:rsidRPr="0058299C">
        <w:rPr>
          <w:rStyle w:val="Hyperlink"/>
          <w:b/>
          <w:color w:val="auto"/>
          <w:sz w:val="28"/>
          <w:szCs w:val="28"/>
          <w:u w:val="none"/>
        </w:rPr>
        <w:tab/>
      </w:r>
      <w:r w:rsidRPr="0058299C">
        <w:rPr>
          <w:rStyle w:val="Hyperlink"/>
          <w:b/>
          <w:color w:val="auto"/>
          <w:sz w:val="28"/>
          <w:szCs w:val="28"/>
          <w:u w:val="none"/>
          <w:lang w:val="de-DE"/>
        </w:rPr>
        <w:t>Tobias Flaemig (tobias.flaemig@wfp.org)</w:t>
      </w:r>
    </w:p>
    <w:sdt>
      <w:sdtPr>
        <w:rPr>
          <w:rFonts w:asciiTheme="minorHAnsi" w:eastAsiaTheme="minorHAnsi" w:hAnsiTheme="minorHAnsi" w:cstheme="minorBidi"/>
          <w:color w:val="auto"/>
          <w:sz w:val="22"/>
          <w:szCs w:val="22"/>
        </w:rPr>
        <w:id w:val="259569813"/>
        <w:docPartObj>
          <w:docPartGallery w:val="Table of Contents"/>
          <w:docPartUnique/>
        </w:docPartObj>
      </w:sdtPr>
      <w:sdtEndPr>
        <w:rPr>
          <w:b/>
          <w:bCs/>
          <w:noProof/>
        </w:rPr>
      </w:sdtEndPr>
      <w:sdtContent>
        <w:p w14:paraId="1E514317" w14:textId="4E28A12E" w:rsidR="00CF43B4" w:rsidRDefault="00CF43B4">
          <w:pPr>
            <w:pStyle w:val="TOCHeading"/>
          </w:pPr>
          <w:r>
            <w:t>Contents</w:t>
          </w:r>
        </w:p>
        <w:p w14:paraId="59C6428F" w14:textId="77777777" w:rsidR="00E17AE4" w:rsidRDefault="00E17AE4">
          <w:pPr>
            <w:pStyle w:val="TOC1"/>
            <w:tabs>
              <w:tab w:val="right" w:leader="dot" w:pos="9350"/>
            </w:tabs>
          </w:pPr>
        </w:p>
        <w:p w14:paraId="2316DC65" w14:textId="77777777" w:rsidR="008A4C54" w:rsidRDefault="00CF43B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0226853" w:history="1">
            <w:r w:rsidR="008A4C54" w:rsidRPr="00425CED">
              <w:rPr>
                <w:rStyle w:val="Hyperlink"/>
                <w:noProof/>
              </w:rPr>
              <w:t>Introduction</w:t>
            </w:r>
            <w:r w:rsidR="008A4C54">
              <w:rPr>
                <w:noProof/>
                <w:webHidden/>
              </w:rPr>
              <w:tab/>
            </w:r>
            <w:r w:rsidR="008A4C54">
              <w:rPr>
                <w:noProof/>
                <w:webHidden/>
              </w:rPr>
              <w:fldChar w:fldCharType="begin"/>
            </w:r>
            <w:r w:rsidR="008A4C54">
              <w:rPr>
                <w:noProof/>
                <w:webHidden/>
              </w:rPr>
              <w:instrText xml:space="preserve"> PAGEREF _Toc460226853 \h </w:instrText>
            </w:r>
            <w:r w:rsidR="008A4C54">
              <w:rPr>
                <w:noProof/>
                <w:webHidden/>
              </w:rPr>
            </w:r>
            <w:r w:rsidR="008A4C54">
              <w:rPr>
                <w:noProof/>
                <w:webHidden/>
              </w:rPr>
              <w:fldChar w:fldCharType="separate"/>
            </w:r>
            <w:r w:rsidR="008A4C54">
              <w:rPr>
                <w:noProof/>
                <w:webHidden/>
              </w:rPr>
              <w:t>3</w:t>
            </w:r>
            <w:r w:rsidR="008A4C54">
              <w:rPr>
                <w:noProof/>
                <w:webHidden/>
              </w:rPr>
              <w:fldChar w:fldCharType="end"/>
            </w:r>
          </w:hyperlink>
        </w:p>
        <w:p w14:paraId="3F11E456" w14:textId="77777777" w:rsidR="008A4C54" w:rsidRDefault="004D0C3D">
          <w:pPr>
            <w:pStyle w:val="TOC1"/>
            <w:tabs>
              <w:tab w:val="right" w:leader="dot" w:pos="9350"/>
            </w:tabs>
            <w:rPr>
              <w:rFonts w:eastAsiaTheme="minorEastAsia"/>
              <w:noProof/>
            </w:rPr>
          </w:pPr>
          <w:hyperlink w:anchor="_Toc460226854" w:history="1">
            <w:r w:rsidR="008A4C54" w:rsidRPr="00425CED">
              <w:rPr>
                <w:rStyle w:val="Hyperlink"/>
                <w:noProof/>
              </w:rPr>
              <w:t>The Food Basket</w:t>
            </w:r>
            <w:r w:rsidR="008A4C54">
              <w:rPr>
                <w:noProof/>
                <w:webHidden/>
              </w:rPr>
              <w:tab/>
            </w:r>
            <w:r w:rsidR="008A4C54">
              <w:rPr>
                <w:noProof/>
                <w:webHidden/>
              </w:rPr>
              <w:fldChar w:fldCharType="begin"/>
            </w:r>
            <w:r w:rsidR="008A4C54">
              <w:rPr>
                <w:noProof/>
                <w:webHidden/>
              </w:rPr>
              <w:instrText xml:space="preserve"> PAGEREF _Toc460226854 \h </w:instrText>
            </w:r>
            <w:r w:rsidR="008A4C54">
              <w:rPr>
                <w:noProof/>
                <w:webHidden/>
              </w:rPr>
            </w:r>
            <w:r w:rsidR="008A4C54">
              <w:rPr>
                <w:noProof/>
                <w:webHidden/>
              </w:rPr>
              <w:fldChar w:fldCharType="separate"/>
            </w:r>
            <w:r w:rsidR="008A4C54">
              <w:rPr>
                <w:noProof/>
                <w:webHidden/>
              </w:rPr>
              <w:t>3</w:t>
            </w:r>
            <w:r w:rsidR="008A4C54">
              <w:rPr>
                <w:noProof/>
                <w:webHidden/>
              </w:rPr>
              <w:fldChar w:fldCharType="end"/>
            </w:r>
          </w:hyperlink>
        </w:p>
        <w:p w14:paraId="2C718252" w14:textId="77777777" w:rsidR="008A4C54" w:rsidRDefault="004D0C3D">
          <w:pPr>
            <w:pStyle w:val="TOC1"/>
            <w:tabs>
              <w:tab w:val="right" w:leader="dot" w:pos="9350"/>
            </w:tabs>
            <w:rPr>
              <w:rFonts w:eastAsiaTheme="minorEastAsia"/>
              <w:noProof/>
            </w:rPr>
          </w:pPr>
          <w:hyperlink w:anchor="_Toc460226855" w:history="1">
            <w:r w:rsidR="008A4C54" w:rsidRPr="00425CED">
              <w:rPr>
                <w:rStyle w:val="Hyperlink"/>
                <w:noProof/>
              </w:rPr>
              <w:t>The Seasonal Index</w:t>
            </w:r>
            <w:r w:rsidR="008A4C54">
              <w:rPr>
                <w:noProof/>
                <w:webHidden/>
              </w:rPr>
              <w:tab/>
            </w:r>
            <w:r w:rsidR="008A4C54">
              <w:rPr>
                <w:noProof/>
                <w:webHidden/>
              </w:rPr>
              <w:fldChar w:fldCharType="begin"/>
            </w:r>
            <w:r w:rsidR="008A4C54">
              <w:rPr>
                <w:noProof/>
                <w:webHidden/>
              </w:rPr>
              <w:instrText xml:space="preserve"> PAGEREF _Toc460226855 \h </w:instrText>
            </w:r>
            <w:r w:rsidR="008A4C54">
              <w:rPr>
                <w:noProof/>
                <w:webHidden/>
              </w:rPr>
            </w:r>
            <w:r w:rsidR="008A4C54">
              <w:rPr>
                <w:noProof/>
                <w:webHidden/>
              </w:rPr>
              <w:fldChar w:fldCharType="separate"/>
            </w:r>
            <w:r w:rsidR="008A4C54">
              <w:rPr>
                <w:noProof/>
                <w:webHidden/>
              </w:rPr>
              <w:t>7</w:t>
            </w:r>
            <w:r w:rsidR="008A4C54">
              <w:rPr>
                <w:noProof/>
                <w:webHidden/>
              </w:rPr>
              <w:fldChar w:fldCharType="end"/>
            </w:r>
          </w:hyperlink>
        </w:p>
        <w:p w14:paraId="19A15DC8" w14:textId="77777777" w:rsidR="008A4C54" w:rsidRDefault="004D0C3D">
          <w:pPr>
            <w:pStyle w:val="TOC1"/>
            <w:tabs>
              <w:tab w:val="right" w:leader="dot" w:pos="9350"/>
            </w:tabs>
            <w:rPr>
              <w:rFonts w:eastAsiaTheme="minorEastAsia"/>
              <w:noProof/>
            </w:rPr>
          </w:pPr>
          <w:hyperlink w:anchor="_Toc460226856" w:history="1">
            <w:r w:rsidR="008A4C54" w:rsidRPr="00425CED">
              <w:rPr>
                <w:rStyle w:val="Hyperlink"/>
                <w:noProof/>
              </w:rPr>
              <w:t>The Seasonal Food Expenditure Score</w:t>
            </w:r>
            <w:r w:rsidR="008A4C54">
              <w:rPr>
                <w:noProof/>
                <w:webHidden/>
              </w:rPr>
              <w:tab/>
            </w:r>
            <w:r w:rsidR="008A4C54">
              <w:rPr>
                <w:noProof/>
                <w:webHidden/>
              </w:rPr>
              <w:fldChar w:fldCharType="begin"/>
            </w:r>
            <w:r w:rsidR="008A4C54">
              <w:rPr>
                <w:noProof/>
                <w:webHidden/>
              </w:rPr>
              <w:instrText xml:space="preserve"> PAGEREF _Toc460226856 \h </w:instrText>
            </w:r>
            <w:r w:rsidR="008A4C54">
              <w:rPr>
                <w:noProof/>
                <w:webHidden/>
              </w:rPr>
            </w:r>
            <w:r w:rsidR="008A4C54">
              <w:rPr>
                <w:noProof/>
                <w:webHidden/>
              </w:rPr>
              <w:fldChar w:fldCharType="separate"/>
            </w:r>
            <w:r w:rsidR="008A4C54">
              <w:rPr>
                <w:noProof/>
                <w:webHidden/>
              </w:rPr>
              <w:t>9</w:t>
            </w:r>
            <w:r w:rsidR="008A4C54">
              <w:rPr>
                <w:noProof/>
                <w:webHidden/>
              </w:rPr>
              <w:fldChar w:fldCharType="end"/>
            </w:r>
          </w:hyperlink>
        </w:p>
        <w:p w14:paraId="5E977AE6" w14:textId="77777777" w:rsidR="008A4C54" w:rsidRDefault="004D0C3D">
          <w:pPr>
            <w:pStyle w:val="TOC1"/>
            <w:tabs>
              <w:tab w:val="right" w:leader="dot" w:pos="9350"/>
            </w:tabs>
            <w:rPr>
              <w:rFonts w:eastAsiaTheme="minorEastAsia"/>
              <w:noProof/>
            </w:rPr>
          </w:pPr>
          <w:hyperlink w:anchor="_Toc460226857" w:history="1">
            <w:r w:rsidR="008A4C54" w:rsidRPr="00425CED">
              <w:rPr>
                <w:rStyle w:val="Hyperlink"/>
                <w:noProof/>
              </w:rPr>
              <w:t>The Severity of the Seasonal Food Expenditure Score</w:t>
            </w:r>
            <w:r w:rsidR="008A4C54">
              <w:rPr>
                <w:noProof/>
                <w:webHidden/>
              </w:rPr>
              <w:tab/>
            </w:r>
            <w:r w:rsidR="008A4C54">
              <w:rPr>
                <w:noProof/>
                <w:webHidden/>
              </w:rPr>
              <w:fldChar w:fldCharType="begin"/>
            </w:r>
            <w:r w:rsidR="008A4C54">
              <w:rPr>
                <w:noProof/>
                <w:webHidden/>
              </w:rPr>
              <w:instrText xml:space="preserve"> PAGEREF _Toc460226857 \h </w:instrText>
            </w:r>
            <w:r w:rsidR="008A4C54">
              <w:rPr>
                <w:noProof/>
                <w:webHidden/>
              </w:rPr>
            </w:r>
            <w:r w:rsidR="008A4C54">
              <w:rPr>
                <w:noProof/>
                <w:webHidden/>
              </w:rPr>
              <w:fldChar w:fldCharType="separate"/>
            </w:r>
            <w:r w:rsidR="008A4C54">
              <w:rPr>
                <w:noProof/>
                <w:webHidden/>
              </w:rPr>
              <w:t>10</w:t>
            </w:r>
            <w:r w:rsidR="008A4C54">
              <w:rPr>
                <w:noProof/>
                <w:webHidden/>
              </w:rPr>
              <w:fldChar w:fldCharType="end"/>
            </w:r>
          </w:hyperlink>
        </w:p>
        <w:p w14:paraId="7452C110" w14:textId="77777777" w:rsidR="008A4C54" w:rsidRDefault="004D0C3D">
          <w:pPr>
            <w:pStyle w:val="TOC1"/>
            <w:tabs>
              <w:tab w:val="right" w:leader="dot" w:pos="9350"/>
            </w:tabs>
            <w:rPr>
              <w:rFonts w:eastAsiaTheme="minorEastAsia"/>
              <w:noProof/>
            </w:rPr>
          </w:pPr>
          <w:hyperlink w:anchor="_Toc460226858" w:history="1">
            <w:r w:rsidR="008A4C54" w:rsidRPr="00425CED">
              <w:rPr>
                <w:rStyle w:val="Hyperlink"/>
                <w:noProof/>
              </w:rPr>
              <w:t>References</w:t>
            </w:r>
            <w:r w:rsidR="008A4C54">
              <w:rPr>
                <w:noProof/>
                <w:webHidden/>
              </w:rPr>
              <w:tab/>
            </w:r>
            <w:r w:rsidR="008A4C54">
              <w:rPr>
                <w:noProof/>
                <w:webHidden/>
              </w:rPr>
              <w:fldChar w:fldCharType="begin"/>
            </w:r>
            <w:r w:rsidR="008A4C54">
              <w:rPr>
                <w:noProof/>
                <w:webHidden/>
              </w:rPr>
              <w:instrText xml:space="preserve"> PAGEREF _Toc460226858 \h </w:instrText>
            </w:r>
            <w:r w:rsidR="008A4C54">
              <w:rPr>
                <w:noProof/>
                <w:webHidden/>
              </w:rPr>
            </w:r>
            <w:r w:rsidR="008A4C54">
              <w:rPr>
                <w:noProof/>
                <w:webHidden/>
              </w:rPr>
              <w:fldChar w:fldCharType="separate"/>
            </w:r>
            <w:r w:rsidR="008A4C54">
              <w:rPr>
                <w:noProof/>
                <w:webHidden/>
              </w:rPr>
              <w:t>12</w:t>
            </w:r>
            <w:r w:rsidR="008A4C54">
              <w:rPr>
                <w:noProof/>
                <w:webHidden/>
              </w:rPr>
              <w:fldChar w:fldCharType="end"/>
            </w:r>
          </w:hyperlink>
        </w:p>
        <w:p w14:paraId="2E878D8B" w14:textId="45E71BF7" w:rsidR="00CF43B4" w:rsidRDefault="00CF43B4">
          <w:r>
            <w:rPr>
              <w:b/>
              <w:bCs/>
              <w:noProof/>
            </w:rPr>
            <w:fldChar w:fldCharType="end"/>
          </w:r>
        </w:p>
      </w:sdtContent>
    </w:sdt>
    <w:p w14:paraId="707C6174" w14:textId="77777777" w:rsidR="00A96703" w:rsidRDefault="00A96703" w:rsidP="00CF43B4">
      <w:pPr>
        <w:jc w:val="both"/>
        <w:rPr>
          <w:b/>
          <w:sz w:val="28"/>
          <w:szCs w:val="28"/>
          <w:lang w:val="de-DE"/>
        </w:rPr>
      </w:pPr>
    </w:p>
    <w:p w14:paraId="42D10BA2" w14:textId="77777777" w:rsidR="00CF43B4" w:rsidRDefault="00CF43B4" w:rsidP="00CF43B4">
      <w:pPr>
        <w:jc w:val="both"/>
        <w:rPr>
          <w:b/>
          <w:sz w:val="28"/>
          <w:szCs w:val="28"/>
          <w:lang w:val="de-DE"/>
        </w:rPr>
      </w:pPr>
    </w:p>
    <w:p w14:paraId="458A6B07" w14:textId="77777777" w:rsidR="00CF43B4" w:rsidRDefault="00CF43B4" w:rsidP="00CF43B4">
      <w:pPr>
        <w:jc w:val="both"/>
        <w:rPr>
          <w:b/>
          <w:sz w:val="28"/>
          <w:szCs w:val="28"/>
          <w:lang w:val="de-DE"/>
        </w:rPr>
      </w:pPr>
    </w:p>
    <w:p w14:paraId="6A38B725" w14:textId="77777777" w:rsidR="00CF43B4" w:rsidRDefault="00CF43B4" w:rsidP="00CF43B4">
      <w:pPr>
        <w:jc w:val="both"/>
        <w:rPr>
          <w:b/>
          <w:sz w:val="28"/>
          <w:szCs w:val="28"/>
          <w:lang w:val="de-DE"/>
        </w:rPr>
      </w:pPr>
    </w:p>
    <w:p w14:paraId="1CD6EAD9" w14:textId="77777777" w:rsidR="00CF43B4" w:rsidRDefault="00CF43B4" w:rsidP="00CF43B4">
      <w:pPr>
        <w:jc w:val="both"/>
        <w:rPr>
          <w:b/>
          <w:sz w:val="28"/>
          <w:szCs w:val="28"/>
          <w:lang w:val="de-DE"/>
        </w:rPr>
      </w:pPr>
    </w:p>
    <w:p w14:paraId="7BFC4997" w14:textId="77777777" w:rsidR="00CF43B4" w:rsidRDefault="00CF43B4" w:rsidP="00CF43B4">
      <w:pPr>
        <w:jc w:val="both"/>
        <w:rPr>
          <w:b/>
          <w:sz w:val="28"/>
          <w:szCs w:val="28"/>
          <w:lang w:val="de-DE"/>
        </w:rPr>
      </w:pPr>
    </w:p>
    <w:p w14:paraId="18A01FFE" w14:textId="77777777" w:rsidR="00CF43B4" w:rsidRDefault="00CF43B4" w:rsidP="00CF43B4">
      <w:pPr>
        <w:jc w:val="both"/>
        <w:rPr>
          <w:b/>
          <w:sz w:val="28"/>
          <w:szCs w:val="28"/>
          <w:lang w:val="de-DE"/>
        </w:rPr>
      </w:pPr>
    </w:p>
    <w:p w14:paraId="51F809BF" w14:textId="77777777" w:rsidR="00CF43B4" w:rsidRDefault="00CF43B4" w:rsidP="00CF43B4">
      <w:pPr>
        <w:jc w:val="both"/>
        <w:rPr>
          <w:b/>
          <w:sz w:val="28"/>
          <w:szCs w:val="28"/>
          <w:lang w:val="de-DE"/>
        </w:rPr>
      </w:pPr>
    </w:p>
    <w:p w14:paraId="339AC040" w14:textId="77777777" w:rsidR="00CF43B4" w:rsidRDefault="00CF43B4" w:rsidP="00CF43B4">
      <w:pPr>
        <w:jc w:val="both"/>
        <w:rPr>
          <w:b/>
          <w:sz w:val="28"/>
          <w:szCs w:val="28"/>
          <w:lang w:val="de-DE"/>
        </w:rPr>
      </w:pPr>
    </w:p>
    <w:p w14:paraId="52CE2540" w14:textId="77777777" w:rsidR="00CF43B4" w:rsidRDefault="00CF43B4" w:rsidP="00CF43B4">
      <w:pPr>
        <w:jc w:val="both"/>
        <w:rPr>
          <w:b/>
          <w:sz w:val="28"/>
          <w:szCs w:val="28"/>
          <w:lang w:val="de-DE"/>
        </w:rPr>
      </w:pPr>
    </w:p>
    <w:p w14:paraId="4977E576" w14:textId="77777777" w:rsidR="00CF43B4" w:rsidRDefault="00CF43B4" w:rsidP="00CF43B4">
      <w:pPr>
        <w:jc w:val="both"/>
        <w:rPr>
          <w:b/>
          <w:sz w:val="28"/>
          <w:szCs w:val="28"/>
          <w:lang w:val="de-DE"/>
        </w:rPr>
      </w:pPr>
    </w:p>
    <w:p w14:paraId="17AAB836" w14:textId="77777777" w:rsidR="00CF43B4" w:rsidRDefault="00CF43B4" w:rsidP="00CF43B4">
      <w:pPr>
        <w:jc w:val="both"/>
        <w:rPr>
          <w:b/>
          <w:sz w:val="28"/>
          <w:szCs w:val="28"/>
          <w:lang w:val="de-DE"/>
        </w:rPr>
      </w:pPr>
    </w:p>
    <w:p w14:paraId="0B69A904" w14:textId="77777777" w:rsidR="00CF43B4" w:rsidRDefault="00CF43B4" w:rsidP="00CF43B4">
      <w:pPr>
        <w:jc w:val="both"/>
        <w:rPr>
          <w:b/>
          <w:sz w:val="28"/>
          <w:szCs w:val="28"/>
          <w:lang w:val="de-DE"/>
        </w:rPr>
      </w:pPr>
    </w:p>
    <w:p w14:paraId="27FCEB17" w14:textId="77777777" w:rsidR="00CF43B4" w:rsidRDefault="00CF43B4" w:rsidP="00CF43B4">
      <w:pPr>
        <w:jc w:val="both"/>
        <w:rPr>
          <w:b/>
          <w:sz w:val="28"/>
          <w:szCs w:val="28"/>
          <w:lang w:val="de-DE"/>
        </w:rPr>
      </w:pPr>
    </w:p>
    <w:p w14:paraId="2CD39385" w14:textId="77777777" w:rsidR="00CF43B4" w:rsidRDefault="00CF43B4" w:rsidP="00CF43B4">
      <w:pPr>
        <w:jc w:val="both"/>
        <w:rPr>
          <w:b/>
          <w:sz w:val="28"/>
          <w:szCs w:val="28"/>
          <w:lang w:val="de-DE"/>
        </w:rPr>
      </w:pPr>
    </w:p>
    <w:p w14:paraId="4BCF17B4" w14:textId="77777777" w:rsidR="00CF43B4" w:rsidRDefault="00CF43B4" w:rsidP="00CF43B4">
      <w:pPr>
        <w:jc w:val="both"/>
        <w:rPr>
          <w:b/>
          <w:sz w:val="28"/>
          <w:szCs w:val="28"/>
          <w:lang w:val="de-DE"/>
        </w:rPr>
      </w:pPr>
    </w:p>
    <w:p w14:paraId="62CD2BAE" w14:textId="77777777" w:rsidR="00CF43B4" w:rsidRDefault="00CF43B4" w:rsidP="00CF43B4">
      <w:pPr>
        <w:jc w:val="both"/>
        <w:rPr>
          <w:b/>
          <w:sz w:val="28"/>
          <w:szCs w:val="28"/>
          <w:lang w:val="de-DE"/>
        </w:rPr>
      </w:pPr>
    </w:p>
    <w:p w14:paraId="2BD2E0A5" w14:textId="77777777" w:rsidR="00227A2D" w:rsidRPr="0058299C" w:rsidRDefault="00227A2D" w:rsidP="00CF43B4">
      <w:pPr>
        <w:jc w:val="both"/>
        <w:rPr>
          <w:b/>
          <w:sz w:val="28"/>
          <w:szCs w:val="28"/>
          <w:lang w:val="de-DE"/>
        </w:rPr>
      </w:pPr>
    </w:p>
    <w:p w14:paraId="6EB3A380" w14:textId="6DE561F0" w:rsidR="00205F05" w:rsidRPr="005951FD" w:rsidRDefault="009A5CDB" w:rsidP="00CF43B4">
      <w:pPr>
        <w:pStyle w:val="Heading1"/>
      </w:pPr>
      <w:bookmarkStart w:id="0" w:name="_Toc460226853"/>
      <w:r>
        <w:lastRenderedPageBreak/>
        <w:t>Introduction</w:t>
      </w:r>
      <w:bookmarkEnd w:id="0"/>
    </w:p>
    <w:p w14:paraId="201FC713" w14:textId="7B295F60" w:rsidR="00F01E85" w:rsidRPr="00F01E85" w:rsidRDefault="00A84989" w:rsidP="00780439">
      <w:pPr>
        <w:jc w:val="both"/>
      </w:pPr>
      <w:r>
        <w:t>Low-</w:t>
      </w:r>
      <w:r w:rsidR="00F35812">
        <w:t>income countries spend a great proportion of their</w:t>
      </w:r>
      <w:r w:rsidR="00385186">
        <w:t xml:space="preserve"> expenditure - </w:t>
      </w:r>
      <w:r w:rsidR="007A5A43">
        <w:t>between 56 and 78 percent</w:t>
      </w:r>
      <w:r w:rsidR="00385186">
        <w:t xml:space="preserve"> – on food</w:t>
      </w:r>
      <w:r w:rsidR="007A5A43">
        <w:t xml:space="preserve"> </w:t>
      </w:r>
      <w:sdt>
        <w:sdtPr>
          <w:id w:val="-665623978"/>
          <w:citation/>
        </w:sdtPr>
        <w:sdtEndPr/>
        <w:sdtContent>
          <w:r w:rsidR="00385186">
            <w:fldChar w:fldCharType="begin"/>
          </w:r>
          <w:r w:rsidR="00385186">
            <w:instrText xml:space="preserve"> CITATION Ban07 \l 1033 </w:instrText>
          </w:r>
          <w:r w:rsidR="00385186">
            <w:fldChar w:fldCharType="separate"/>
          </w:r>
          <w:r w:rsidR="009A621F">
            <w:rPr>
              <w:noProof/>
            </w:rPr>
            <w:t>(Banerjee &amp; Duflo, 2007)</w:t>
          </w:r>
          <w:r w:rsidR="00385186">
            <w:fldChar w:fldCharType="end"/>
          </w:r>
        </w:sdtContent>
      </w:sdt>
      <w:r w:rsidR="00385186">
        <w:t>, and</w:t>
      </w:r>
      <w:r w:rsidR="00F01E85">
        <w:t xml:space="preserve"> studies show that</w:t>
      </w:r>
      <w:r w:rsidR="00EA12E8">
        <w:t xml:space="preserve"> food demand is highly responsive</w:t>
      </w:r>
      <w:r w:rsidR="00385186">
        <w:t xml:space="preserve"> to food price changes </w:t>
      </w:r>
      <w:sdt>
        <w:sdtPr>
          <w:id w:val="-229615242"/>
          <w:citation/>
        </w:sdtPr>
        <w:sdtEndPr/>
        <w:sdtContent>
          <w:r w:rsidR="00B15B57">
            <w:fldChar w:fldCharType="begin"/>
          </w:r>
          <w:r w:rsidR="00F01E85">
            <w:instrText xml:space="preserve">CITATION Reg01 \l 1033 </w:instrText>
          </w:r>
          <w:r w:rsidR="00B15B57">
            <w:fldChar w:fldCharType="separate"/>
          </w:r>
          <w:r w:rsidR="009A621F">
            <w:rPr>
              <w:noProof/>
            </w:rPr>
            <w:t>(Regmi, Deepak, Seale, &amp; Bernstein, 2001)</w:t>
          </w:r>
          <w:r w:rsidR="00B15B57">
            <w:fldChar w:fldCharType="end"/>
          </w:r>
        </w:sdtContent>
      </w:sdt>
      <w:r w:rsidR="007A2B12">
        <w:t>. However</w:t>
      </w:r>
      <w:r w:rsidR="00F01E85">
        <w:t xml:space="preserve">, Regmi </w:t>
      </w:r>
      <w:r w:rsidR="00F01E85">
        <w:rPr>
          <w:i/>
        </w:rPr>
        <w:t xml:space="preserve">et al. </w:t>
      </w:r>
      <w:sdt>
        <w:sdtPr>
          <w:rPr>
            <w:i/>
          </w:rPr>
          <w:id w:val="839978400"/>
          <w:citation/>
        </w:sdtPr>
        <w:sdtEndPr/>
        <w:sdtContent>
          <w:r w:rsidR="00780439">
            <w:rPr>
              <w:i/>
            </w:rPr>
            <w:fldChar w:fldCharType="begin"/>
          </w:r>
          <w:r w:rsidR="00780439">
            <w:rPr>
              <w:i/>
            </w:rPr>
            <w:instrText xml:space="preserve">CITATION Reg01 \n  \t  \l 1033 </w:instrText>
          </w:r>
          <w:r w:rsidR="00780439">
            <w:rPr>
              <w:i/>
            </w:rPr>
            <w:fldChar w:fldCharType="separate"/>
          </w:r>
          <w:r w:rsidR="009A621F">
            <w:rPr>
              <w:noProof/>
            </w:rPr>
            <w:t>(2001)</w:t>
          </w:r>
          <w:r w:rsidR="00780439">
            <w:rPr>
              <w:i/>
            </w:rPr>
            <w:fldChar w:fldCharType="end"/>
          </w:r>
        </w:sdtContent>
      </w:sdt>
      <w:r w:rsidR="00F01E85">
        <w:t xml:space="preserve"> </w:t>
      </w:r>
      <w:r w:rsidR="00780439">
        <w:t>argue</w:t>
      </w:r>
      <w:r w:rsidR="00F01E85">
        <w:t xml:space="preserve"> that price</w:t>
      </w:r>
      <w:r w:rsidR="00780439">
        <w:t xml:space="preserve"> elasticity</w:t>
      </w:r>
      <w:r w:rsidR="00F01E85">
        <w:t xml:space="preserve"> </w:t>
      </w:r>
      <w:r w:rsidR="00780439">
        <w:t>is not uniform across all food categories as</w:t>
      </w:r>
      <w:r w:rsidR="00F01E85" w:rsidRPr="00F01E85">
        <w:t xml:space="preserve"> </w:t>
      </w:r>
      <w:r w:rsidR="00780439">
        <w:t>demand for high</w:t>
      </w:r>
      <w:r w:rsidR="00780439" w:rsidRPr="00F01E85">
        <w:t xml:space="preserve"> value food</w:t>
      </w:r>
      <w:r w:rsidR="00780439">
        <w:t xml:space="preserve"> </w:t>
      </w:r>
      <w:r w:rsidR="00780439" w:rsidRPr="00F01E85">
        <w:t>items</w:t>
      </w:r>
      <w:r w:rsidR="00780439">
        <w:t xml:space="preserve"> (e.g.</w:t>
      </w:r>
      <w:r w:rsidR="00780439" w:rsidRPr="00F01E85">
        <w:t xml:space="preserve"> dairy and meat</w:t>
      </w:r>
      <w:r w:rsidR="00780439">
        <w:t>) reacts more to price changes than s</w:t>
      </w:r>
      <w:r w:rsidR="00F01E85" w:rsidRPr="00F01E85">
        <w:t xml:space="preserve">taple food </w:t>
      </w:r>
      <w:r w:rsidR="00780439">
        <w:t xml:space="preserve">demand. </w:t>
      </w:r>
    </w:p>
    <w:p w14:paraId="1567645A" w14:textId="2DC2249C" w:rsidR="009061F8" w:rsidRPr="00C84BA0" w:rsidRDefault="00780439" w:rsidP="00CA612D">
      <w:pPr>
        <w:jc w:val="both"/>
      </w:pPr>
      <w:r>
        <w:t xml:space="preserve">In some countries, </w:t>
      </w:r>
      <w:r w:rsidR="008A4C54">
        <w:t xml:space="preserve">total </w:t>
      </w:r>
      <w:r>
        <w:t xml:space="preserve">household food </w:t>
      </w:r>
      <w:r w:rsidR="00445D6E">
        <w:t xml:space="preserve">expenditure </w:t>
      </w:r>
      <w:r w:rsidR="009061F8">
        <w:t xml:space="preserve">may </w:t>
      </w:r>
      <w:r w:rsidR="00851AA7">
        <w:t>be largely influenced by the seasonality of</w:t>
      </w:r>
      <w:r w:rsidR="00445D6E">
        <w:t xml:space="preserve"> food price</w:t>
      </w:r>
      <w:r w:rsidR="00851AA7">
        <w:t xml:space="preserve"> along the year. P</w:t>
      </w:r>
      <w:r w:rsidR="00851AA7" w:rsidRPr="00C84BA0">
        <w:t>rice volatility creates uncertainty,</w:t>
      </w:r>
      <w:r w:rsidR="00851AA7">
        <w:t xml:space="preserve"> </w:t>
      </w:r>
      <w:r w:rsidR="008A4C54">
        <w:t>but also</w:t>
      </w:r>
      <w:r w:rsidR="00851AA7">
        <w:t xml:space="preserve"> high seasonal</w:t>
      </w:r>
      <w:r w:rsidR="00851AA7" w:rsidRPr="00C84BA0">
        <w:t xml:space="preserve"> prices, even if expected, threat</w:t>
      </w:r>
      <w:r w:rsidR="00851AA7">
        <w:t>en</w:t>
      </w:r>
      <w:r w:rsidR="00851AA7" w:rsidRPr="00C84BA0">
        <w:t xml:space="preserve"> </w:t>
      </w:r>
      <w:r w:rsidR="00851AA7">
        <w:t xml:space="preserve">the food security of </w:t>
      </w:r>
      <w:r w:rsidR="00851AA7" w:rsidRPr="00C84BA0">
        <w:t xml:space="preserve">poor households by limiting their </w:t>
      </w:r>
      <w:r w:rsidR="00851AA7">
        <w:t xml:space="preserve">purchasing power and thus their </w:t>
      </w:r>
      <w:r w:rsidR="00851AA7" w:rsidRPr="00C84BA0">
        <w:t>access to food.</w:t>
      </w:r>
    </w:p>
    <w:p w14:paraId="78B60D87" w14:textId="382D28A3" w:rsidR="00F539E8" w:rsidRDefault="00F539E8" w:rsidP="00FE5CC4">
      <w:pPr>
        <w:jc w:val="both"/>
      </w:pPr>
      <w:r>
        <w:t>With this in mind, the Economic and Market Analysis Unit in VAM (</w:t>
      </w:r>
      <w:r w:rsidRPr="00C84BA0">
        <w:t>OSZA</w:t>
      </w:r>
      <w:r>
        <w:t>)</w:t>
      </w:r>
      <w:r w:rsidRPr="00C84BA0">
        <w:t xml:space="preserve"> </w:t>
      </w:r>
      <w:r>
        <w:t>has developed t</w:t>
      </w:r>
      <w:r w:rsidRPr="00C84BA0">
        <w:t xml:space="preserve">he </w:t>
      </w:r>
      <w:r>
        <w:t xml:space="preserve">Seasonal Food </w:t>
      </w:r>
      <w:r w:rsidR="00227A2D">
        <w:t>Expenditure Score</w:t>
      </w:r>
      <w:r>
        <w:t xml:space="preserve"> (</w:t>
      </w:r>
      <w:r w:rsidR="00227A2D">
        <w:t>SFE</w:t>
      </w:r>
      <w:r w:rsidRPr="00C84BA0">
        <w:t>)</w:t>
      </w:r>
      <w:r>
        <w:t xml:space="preserve">, </w:t>
      </w:r>
      <w:r w:rsidRPr="00C84BA0">
        <w:t xml:space="preserve">a </w:t>
      </w:r>
      <w:r>
        <w:t>monthly</w:t>
      </w:r>
      <w:r w:rsidRPr="00C84BA0">
        <w:t xml:space="preserve"> indicator that </w:t>
      </w:r>
      <w:r>
        <w:t>captures</w:t>
      </w:r>
      <w:r w:rsidRPr="00C84BA0">
        <w:t xml:space="preserve"> </w:t>
      </w:r>
      <w:r>
        <w:t>potential threats to</w:t>
      </w:r>
      <w:r w:rsidRPr="00C84BA0">
        <w:t xml:space="preserve"> household</w:t>
      </w:r>
      <w:r>
        <w:t>s’</w:t>
      </w:r>
      <w:r w:rsidRPr="00C84BA0">
        <w:t xml:space="preserve"> </w:t>
      </w:r>
      <w:r>
        <w:t xml:space="preserve">food </w:t>
      </w:r>
      <w:r w:rsidRPr="00C84BA0">
        <w:t xml:space="preserve">security </w:t>
      </w:r>
      <w:r>
        <w:t>due to high seasonal food prices</w:t>
      </w:r>
      <w:r w:rsidR="00227A2D">
        <w:t>.</w:t>
      </w:r>
    </w:p>
    <w:p w14:paraId="2819EA17" w14:textId="7626C2FB" w:rsidR="00FE5CC4" w:rsidRDefault="004160CC" w:rsidP="00FE5CC4">
      <w:pPr>
        <w:jc w:val="both"/>
      </w:pPr>
      <w:r>
        <w:t xml:space="preserve">The </w:t>
      </w:r>
      <w:r w:rsidR="00227A2D">
        <w:t>SFE</w:t>
      </w:r>
      <w:r w:rsidR="00BA5F4C" w:rsidRPr="00C84BA0">
        <w:t xml:space="preserve"> </w:t>
      </w:r>
      <w:r w:rsidR="00697007" w:rsidRPr="00C84BA0">
        <w:t>looks</w:t>
      </w:r>
      <w:r w:rsidR="00CB0F26" w:rsidRPr="00C84BA0">
        <w:t xml:space="preserve"> at </w:t>
      </w:r>
      <w:r w:rsidR="00C9491A">
        <w:t>changes</w:t>
      </w:r>
      <w:r w:rsidR="00CB0F26" w:rsidRPr="00C84BA0">
        <w:t xml:space="preserve"> </w:t>
      </w:r>
      <w:r w:rsidR="00F35608" w:rsidRPr="00C84BA0">
        <w:t xml:space="preserve">in the cost of food basket </w:t>
      </w:r>
      <w:r w:rsidR="00C9491A">
        <w:t xml:space="preserve">in a year </w:t>
      </w:r>
      <w:r w:rsidR="00BA5F4C" w:rsidRPr="00C84BA0">
        <w:t xml:space="preserve">and </w:t>
      </w:r>
      <w:r w:rsidR="009230C5">
        <w:t xml:space="preserve">detects months </w:t>
      </w:r>
      <w:r w:rsidR="00C9491A">
        <w:t xml:space="preserve">in </w:t>
      </w:r>
      <w:r w:rsidR="009230C5">
        <w:t>w</w:t>
      </w:r>
      <w:r w:rsidR="003D3825">
        <w:t>h</w:t>
      </w:r>
      <w:r w:rsidR="009230C5">
        <w:t>i</w:t>
      </w:r>
      <w:r w:rsidR="00C9491A">
        <w:t xml:space="preserve">ch </w:t>
      </w:r>
      <w:r w:rsidR="003D3825">
        <w:t xml:space="preserve">high </w:t>
      </w:r>
      <w:r w:rsidR="009230C5">
        <w:t>seasonal</w:t>
      </w:r>
      <w:r w:rsidR="00697007" w:rsidRPr="00C84BA0">
        <w:t xml:space="preserve"> prices</w:t>
      </w:r>
      <w:r w:rsidR="00C9491A">
        <w:t xml:space="preserve"> have a major impact in the cost of the food basket. </w:t>
      </w:r>
      <w:r w:rsidR="009C6572">
        <w:t xml:space="preserve">The </w:t>
      </w:r>
      <w:r w:rsidR="00227A2D">
        <w:t>SFE</w:t>
      </w:r>
      <w:r w:rsidR="00C9491A" w:rsidRPr="00C84BA0">
        <w:t xml:space="preserve"> is not meant to detect price anomalies, rather t</w:t>
      </w:r>
      <w:r w:rsidR="00C9491A">
        <w:t>o describe</w:t>
      </w:r>
      <w:r w:rsidR="00C9491A" w:rsidRPr="00C84BA0">
        <w:t xml:space="preserve"> “normal” market conditions. The idea behind is that</w:t>
      </w:r>
      <w:r w:rsidR="00C9491A">
        <w:t xml:space="preserve"> </w:t>
      </w:r>
      <w:r w:rsidR="00FE5CC4">
        <w:t>the diet of poor families is mainly based on staples and price elasticities for staples is low. Thus, an increase in price will put a heavy burden on the household budget and may threat</w:t>
      </w:r>
      <w:r w:rsidR="00C9491A">
        <w:t xml:space="preserve"> </w:t>
      </w:r>
      <w:r w:rsidR="00FE5CC4">
        <w:t>the ability of a</w:t>
      </w:r>
      <w:r w:rsidR="00C9491A">
        <w:t xml:space="preserve"> household </w:t>
      </w:r>
      <w:r w:rsidR="00FE5CC4">
        <w:t xml:space="preserve">- </w:t>
      </w:r>
      <w:r w:rsidR="00C9491A">
        <w:t>who spend already a larg</w:t>
      </w:r>
      <w:r w:rsidR="00FE5CC4">
        <w:t>e part of its income on food- to satisfy its food needs.</w:t>
      </w:r>
    </w:p>
    <w:p w14:paraId="3161C0C0" w14:textId="15FC04F1" w:rsidR="001E3599" w:rsidRPr="00C84BA0" w:rsidRDefault="001E3599" w:rsidP="001E3599">
      <w:pPr>
        <w:jc w:val="both"/>
      </w:pPr>
      <w:r>
        <w:t>VAM</w:t>
      </w:r>
      <w:r w:rsidRPr="00C84BA0">
        <w:t xml:space="preserve"> </w:t>
      </w:r>
      <w:r>
        <w:t xml:space="preserve">has developed this indicators in order </w:t>
      </w:r>
      <w:r w:rsidRPr="00C84BA0">
        <w:t xml:space="preserve">to </w:t>
      </w:r>
      <w:r>
        <w:t>support the Budget and Programming Unit (RMBP) in the identification of</w:t>
      </w:r>
      <w:r w:rsidRPr="00C84BA0">
        <w:t xml:space="preserve"> countries </w:t>
      </w:r>
      <w:r w:rsidR="007971AE">
        <w:t>more in need of</w:t>
      </w:r>
      <w:r w:rsidRPr="00C84BA0">
        <w:t xml:space="preserve"> assistance</w:t>
      </w:r>
      <w:r>
        <w:t xml:space="preserve"> from WFP</w:t>
      </w:r>
      <w:r w:rsidRPr="00C84BA0">
        <w:t xml:space="preserve">. </w:t>
      </w:r>
      <w:r w:rsidR="00492368">
        <w:t>In particular</w:t>
      </w:r>
      <w:r w:rsidR="00CD4261">
        <w:t>, RMBP’s budget allocation process requires a windows of six month. Accordingly, t</w:t>
      </w:r>
      <w:r w:rsidR="00CD4261" w:rsidRPr="00C84BA0">
        <w:t xml:space="preserve">he </w:t>
      </w:r>
      <w:r w:rsidR="00227A2D">
        <w:t>SFE</w:t>
      </w:r>
      <w:r w:rsidR="00227A2D" w:rsidRPr="00C84BA0">
        <w:t xml:space="preserve"> </w:t>
      </w:r>
      <w:r w:rsidR="00CD4261">
        <w:t>is used to compute</w:t>
      </w:r>
      <w:r w:rsidR="00CD4261" w:rsidRPr="00C84BA0">
        <w:t xml:space="preserve"> a forward-looking </w:t>
      </w:r>
      <w:r w:rsidR="00CD4261">
        <w:t xml:space="preserve">indicator, the Severity of </w:t>
      </w:r>
      <w:r w:rsidR="00227A2D">
        <w:t>the Seasonal Food Expenditure Score (SFES</w:t>
      </w:r>
      <w:r w:rsidR="00CD4261">
        <w:t>), which</w:t>
      </w:r>
      <w:r w:rsidR="00CD4261" w:rsidRPr="00C84BA0">
        <w:t xml:space="preserve"> </w:t>
      </w:r>
      <w:r w:rsidR="00CD4261">
        <w:t>summarizes</w:t>
      </w:r>
      <w:r w:rsidR="00CD4261" w:rsidRPr="00C84BA0">
        <w:t xml:space="preserve"> </w:t>
      </w:r>
      <w:r w:rsidR="00CD4261">
        <w:t>every month how much more expensive the food basket will be in</w:t>
      </w:r>
      <w:r w:rsidR="00CD4261" w:rsidRPr="00C84BA0">
        <w:t xml:space="preserve"> the </w:t>
      </w:r>
      <w:r w:rsidR="00CD4261">
        <w:t>six</w:t>
      </w:r>
      <w:r w:rsidR="00CD4261" w:rsidRPr="00C84BA0">
        <w:t xml:space="preserve"> </w:t>
      </w:r>
      <w:r w:rsidR="00CD4261">
        <w:t>up</w:t>
      </w:r>
      <w:r w:rsidR="00CD4261" w:rsidRPr="00C84BA0">
        <w:t>coming months</w:t>
      </w:r>
      <w:r w:rsidR="00CD4261">
        <w:t xml:space="preserve"> compared to the yearly average cost.</w:t>
      </w:r>
      <w:r>
        <w:rPr>
          <w:rStyle w:val="FootnoteReference"/>
        </w:rPr>
        <w:footnoteReference w:id="1"/>
      </w:r>
    </w:p>
    <w:p w14:paraId="02EACF3E" w14:textId="7528628A" w:rsidR="009061F8" w:rsidRDefault="00206C01" w:rsidP="009061F8">
      <w:pPr>
        <w:jc w:val="both"/>
      </w:pPr>
      <w:r>
        <w:t xml:space="preserve">Both the </w:t>
      </w:r>
      <w:r w:rsidR="008C7D7E">
        <w:t>SFE</w:t>
      </w:r>
      <w:r w:rsidR="008C7D7E" w:rsidRPr="00C84BA0">
        <w:t xml:space="preserve"> </w:t>
      </w:r>
      <w:r>
        <w:t xml:space="preserve">and the </w:t>
      </w:r>
      <w:r w:rsidR="008C7D7E">
        <w:t>SFES</w:t>
      </w:r>
      <w:r w:rsidR="00C715E4" w:rsidRPr="00C84BA0">
        <w:t xml:space="preserve">, based on </w:t>
      </w:r>
      <w:r w:rsidR="00DD7284" w:rsidRPr="00C84BA0">
        <w:t xml:space="preserve">the average </w:t>
      </w:r>
      <w:r w:rsidR="009F0ABE" w:rsidRPr="00C84BA0">
        <w:t xml:space="preserve">national </w:t>
      </w:r>
      <w:r w:rsidR="00DD7284" w:rsidRPr="00C84BA0">
        <w:t xml:space="preserve">cost of the food basket, scores from </w:t>
      </w:r>
      <w:r w:rsidR="009F0ABE">
        <w:t>one</w:t>
      </w:r>
      <w:r w:rsidR="00DD7284" w:rsidRPr="00C84BA0">
        <w:t xml:space="preserve"> to five a</w:t>
      </w:r>
      <w:r w:rsidR="00C715E4" w:rsidRPr="00C84BA0">
        <w:t>nd</w:t>
      </w:r>
      <w:r w:rsidR="00B370D3">
        <w:t xml:space="preserve"> allows ranking </w:t>
      </w:r>
      <w:r w:rsidR="00DD7284" w:rsidRPr="00C84BA0">
        <w:t>countries where WFP operates</w:t>
      </w:r>
      <w:r w:rsidR="00DD7284" w:rsidRPr="00DD7284">
        <w:rPr>
          <w:rStyle w:val="FootnoteReference"/>
          <w:sz w:val="24"/>
          <w:szCs w:val="24"/>
        </w:rPr>
        <w:footnoteReference w:id="2"/>
      </w:r>
      <w:r w:rsidR="00C715E4" w:rsidRPr="00C84BA0">
        <w:t>.</w:t>
      </w:r>
      <w:r w:rsidR="00DD7284" w:rsidRPr="00C84BA0">
        <w:t xml:space="preserve"> </w:t>
      </w:r>
      <w:r w:rsidR="004A5C8D" w:rsidRPr="006401C3">
        <w:t xml:space="preserve">The higher the score, the more </w:t>
      </w:r>
      <w:r w:rsidR="004A5C8D">
        <w:t>the cost of the food basket is</w:t>
      </w:r>
      <w:r w:rsidR="004A5C8D" w:rsidRPr="006401C3">
        <w:t xml:space="preserve"> expected to exceed the average </w:t>
      </w:r>
      <w:r w:rsidR="004A5C8D">
        <w:t>yearly cost.</w:t>
      </w:r>
      <w:r w:rsidR="00C715E4" w:rsidRPr="00C84BA0">
        <w:t xml:space="preserve"> </w:t>
      </w:r>
    </w:p>
    <w:p w14:paraId="7B134C57" w14:textId="538F24E0" w:rsidR="001115CB" w:rsidRPr="005951FD" w:rsidRDefault="004A5C8D" w:rsidP="00CF43B4">
      <w:pPr>
        <w:pStyle w:val="Heading1"/>
      </w:pPr>
      <w:bookmarkStart w:id="1" w:name="_Toc460226854"/>
      <w:r>
        <w:t>The Food Basket</w:t>
      </w:r>
      <w:bookmarkEnd w:id="1"/>
    </w:p>
    <w:p w14:paraId="2E649F5E" w14:textId="4C864F88" w:rsidR="001115CB" w:rsidRPr="005951FD" w:rsidRDefault="00743AF7" w:rsidP="001115CB">
      <w:pPr>
        <w:jc w:val="both"/>
      </w:pPr>
      <w:r>
        <w:t xml:space="preserve">The food basket is </w:t>
      </w:r>
      <w:r w:rsidR="00247DD7">
        <w:t xml:space="preserve">a combination </w:t>
      </w:r>
      <w:r>
        <w:t xml:space="preserve">of basic </w:t>
      </w:r>
      <w:r w:rsidR="00247DD7">
        <w:t xml:space="preserve">food </w:t>
      </w:r>
      <w:r>
        <w:t xml:space="preserve">products which </w:t>
      </w:r>
      <w:r w:rsidR="00247DD7">
        <w:t>serve</w:t>
      </w:r>
      <w:r w:rsidR="007A2B12">
        <w:t>s</w:t>
      </w:r>
      <w:r w:rsidR="00247DD7">
        <w:t xml:space="preserve"> as</w:t>
      </w:r>
      <w:r>
        <w:t xml:space="preserve"> the usual diet of a population </w:t>
      </w:r>
      <w:r w:rsidR="00247DD7">
        <w:t xml:space="preserve">and </w:t>
      </w:r>
      <w:r>
        <w:t>cover</w:t>
      </w:r>
      <w:r w:rsidR="007A2B12">
        <w:t>s</w:t>
      </w:r>
      <w:r>
        <w:t xml:space="preserve"> adequately the energy requirements of an individual. </w:t>
      </w:r>
      <w:r w:rsidR="0017749D">
        <w:t>As t</w:t>
      </w:r>
      <w:r w:rsidR="001115CB" w:rsidRPr="005951FD">
        <w:t xml:space="preserve">he </w:t>
      </w:r>
      <w:r w:rsidR="008C7D7E">
        <w:t>SFE</w:t>
      </w:r>
      <w:r w:rsidR="008C7D7E" w:rsidRPr="00C84BA0">
        <w:t xml:space="preserve"> </w:t>
      </w:r>
      <w:r w:rsidR="0052416C">
        <w:t>will be</w:t>
      </w:r>
      <w:r w:rsidR="001115CB" w:rsidRPr="005951FD">
        <w:t xml:space="preserve"> </w:t>
      </w:r>
      <w:r w:rsidR="0052416C">
        <w:t>derived</w:t>
      </w:r>
      <w:r w:rsidR="00A061B6" w:rsidRPr="005951FD">
        <w:t xml:space="preserve"> from </w:t>
      </w:r>
      <w:r w:rsidR="001115CB" w:rsidRPr="005951FD">
        <w:t>the seasonal</w:t>
      </w:r>
      <w:r w:rsidR="0052416C">
        <w:t xml:space="preserve"> index of the cost of</w:t>
      </w:r>
      <w:r w:rsidR="001115CB" w:rsidRPr="005951FD">
        <w:t xml:space="preserve"> </w:t>
      </w:r>
      <w:r w:rsidR="0052416C">
        <w:t xml:space="preserve">the </w:t>
      </w:r>
      <w:r w:rsidR="001115CB" w:rsidRPr="005951FD">
        <w:t>food b</w:t>
      </w:r>
      <w:r w:rsidR="0017749D">
        <w:t>asket</w:t>
      </w:r>
      <w:r>
        <w:t xml:space="preserve">, </w:t>
      </w:r>
      <w:r w:rsidR="0017749D">
        <w:t>its</w:t>
      </w:r>
      <w:r w:rsidR="0052416C">
        <w:t xml:space="preserve"> definition is crucial. This</w:t>
      </w:r>
      <w:r>
        <w:t xml:space="preserve"> section describes how the composition and the cost of the food basket are determined.</w:t>
      </w:r>
    </w:p>
    <w:p w14:paraId="6F5AA9DA" w14:textId="6658AF94" w:rsidR="00D37522" w:rsidRDefault="001115CB" w:rsidP="0041116A">
      <w:pPr>
        <w:widowControl w:val="0"/>
        <w:jc w:val="both"/>
      </w:pPr>
      <w:r w:rsidRPr="005951FD">
        <w:t xml:space="preserve">The </w:t>
      </w:r>
      <w:r w:rsidRPr="004A5C8D">
        <w:rPr>
          <w:b/>
          <w:u w:val="single"/>
        </w:rPr>
        <w:t>composition</w:t>
      </w:r>
      <w:r w:rsidRPr="004A5C8D">
        <w:t xml:space="preserve"> of the food basket</w:t>
      </w:r>
      <w:r w:rsidRPr="005951FD">
        <w:t xml:space="preserve"> is country-specific</w:t>
      </w:r>
      <w:r w:rsidR="00141BBE">
        <w:t xml:space="preserve">. Ideally, to </w:t>
      </w:r>
      <w:r w:rsidR="00141BBE" w:rsidRPr="001C0E28">
        <w:t>ensure cross-time comparability</w:t>
      </w:r>
      <w:r w:rsidR="003767D8">
        <w:t xml:space="preserve">, the </w:t>
      </w:r>
      <w:r w:rsidR="00823CBE">
        <w:t xml:space="preserve">composition should also be time </w:t>
      </w:r>
      <w:r w:rsidR="003767D8">
        <w:t xml:space="preserve">invariant. However, in order to ensure a significant basket and bypass the limitation of data availability, the </w:t>
      </w:r>
      <w:r w:rsidR="003767D8" w:rsidRPr="005951FD">
        <w:t xml:space="preserve">items in the food basket </w:t>
      </w:r>
      <w:r w:rsidR="003106DA">
        <w:t>are allowed to</w:t>
      </w:r>
      <w:r w:rsidR="003767D8" w:rsidRPr="005951FD">
        <w:t xml:space="preserve"> change across time</w:t>
      </w:r>
      <w:r w:rsidR="008054F8">
        <w:t xml:space="preserve">, but the </w:t>
      </w:r>
      <w:r w:rsidR="008054F8">
        <w:lastRenderedPageBreak/>
        <w:t xml:space="preserve">composition is such to </w:t>
      </w:r>
      <w:r w:rsidR="008054F8" w:rsidRPr="00090298">
        <w:rPr>
          <w:u w:val="single"/>
        </w:rPr>
        <w:t>provide</w:t>
      </w:r>
      <w:r w:rsidR="001C0E28" w:rsidRPr="00090298">
        <w:rPr>
          <w:u w:val="single"/>
        </w:rPr>
        <w:t xml:space="preserve"> a quasi-constant </w:t>
      </w:r>
      <w:r w:rsidR="005773CB" w:rsidRPr="00090298">
        <w:rPr>
          <w:u w:val="single"/>
        </w:rPr>
        <w:t xml:space="preserve">daily </w:t>
      </w:r>
      <w:r w:rsidR="001C0E28" w:rsidRPr="00090298">
        <w:rPr>
          <w:u w:val="single"/>
        </w:rPr>
        <w:t>caloric</w:t>
      </w:r>
      <w:r w:rsidR="00141BBE" w:rsidRPr="00090298">
        <w:rPr>
          <w:u w:val="single"/>
        </w:rPr>
        <w:t xml:space="preserve"> intake over</w:t>
      </w:r>
      <w:r w:rsidR="001C0E28" w:rsidRPr="00090298">
        <w:rPr>
          <w:u w:val="single"/>
        </w:rPr>
        <w:t xml:space="preserve"> </w:t>
      </w:r>
      <w:r w:rsidR="00141BBE" w:rsidRPr="00090298">
        <w:rPr>
          <w:u w:val="single"/>
        </w:rPr>
        <w:t>time</w:t>
      </w:r>
      <w:r w:rsidR="001C0E28" w:rsidRPr="005951FD">
        <w:t>.</w:t>
      </w:r>
      <w:r w:rsidR="00A3234E">
        <w:t xml:space="preserve"> </w:t>
      </w:r>
    </w:p>
    <w:p w14:paraId="7F632474" w14:textId="515FD0F8" w:rsidR="001D178D" w:rsidRPr="001D178D" w:rsidRDefault="00090298" w:rsidP="0041116A">
      <w:pPr>
        <w:widowControl w:val="0"/>
        <w:jc w:val="both"/>
      </w:pPr>
      <w:r>
        <w:t>The use of caloric</w:t>
      </w:r>
      <w:r w:rsidR="007C1B09">
        <w:t xml:space="preserve"> intake find</w:t>
      </w:r>
      <w:r w:rsidR="00823CBE">
        <w:t>s</w:t>
      </w:r>
      <w:r w:rsidR="007C1B09">
        <w:t xml:space="preserve"> its justification in the vast literature on poverty measure, which construct</w:t>
      </w:r>
      <w:r w:rsidR="00823CBE">
        <w:t>s</w:t>
      </w:r>
      <w:r w:rsidR="007C1B09">
        <w:t xml:space="preserve"> the food poverty line by estimating the cost of purchasing 2,100 kcal/day/per capita. </w:t>
      </w:r>
      <w:r>
        <w:t>It</w:t>
      </w:r>
      <w:r w:rsidR="00ED39FA">
        <w:t xml:space="preserve"> is based on the idea that a minimum consumption of calorie is needed to ensure biological efficiency. Limitation</w:t>
      </w:r>
      <w:r w:rsidR="008049D3">
        <w:t>s</w:t>
      </w:r>
      <w:r w:rsidR="00ED39FA">
        <w:t xml:space="preserve"> of </w:t>
      </w:r>
      <w:r w:rsidR="008049D3">
        <w:t>this methodology are certainly acknowledged. In particular, it neglects nutritional requirements and disregard</w:t>
      </w:r>
      <w:r w:rsidR="00823CBE">
        <w:t>s</w:t>
      </w:r>
      <w:r w:rsidR="008049D3">
        <w:t xml:space="preserve"> the fact that food </w:t>
      </w:r>
      <w:r w:rsidR="00D37522">
        <w:t xml:space="preserve">consumption varies according to </w:t>
      </w:r>
      <w:r w:rsidR="008049D3">
        <w:t>taste</w:t>
      </w:r>
      <w:r w:rsidR="00D37522">
        <w:t>s</w:t>
      </w:r>
      <w:r w:rsidR="008049D3">
        <w:t xml:space="preserve"> and </w:t>
      </w:r>
      <w:r w:rsidR="00D37522">
        <w:t xml:space="preserve">household’s </w:t>
      </w:r>
      <w:r w:rsidR="008049D3">
        <w:t>income</w:t>
      </w:r>
      <w:r w:rsidR="00D37522">
        <w:t xml:space="preserve"> level</w:t>
      </w:r>
      <w:r w:rsidR="008049D3">
        <w:t xml:space="preserve"> </w:t>
      </w:r>
      <w:sdt>
        <w:sdtPr>
          <w:id w:val="1535307518"/>
          <w:citation/>
        </w:sdtPr>
        <w:sdtEndPr/>
        <w:sdtContent>
          <w:r w:rsidR="008049D3">
            <w:fldChar w:fldCharType="begin"/>
          </w:r>
          <w:r w:rsidR="008049D3">
            <w:instrText xml:space="preserve"> CITATION Dea80 \l 1033 </w:instrText>
          </w:r>
          <w:r w:rsidR="008049D3">
            <w:fldChar w:fldCharType="separate"/>
          </w:r>
          <w:r w:rsidR="009A621F">
            <w:rPr>
              <w:noProof/>
            </w:rPr>
            <w:t>(Deaton, 1980)</w:t>
          </w:r>
          <w:r w:rsidR="008049D3">
            <w:fldChar w:fldCharType="end"/>
          </w:r>
        </w:sdtContent>
      </w:sdt>
      <w:r w:rsidR="008049D3">
        <w:t xml:space="preserve">. </w:t>
      </w:r>
      <w:r w:rsidR="00D37522">
        <w:t>Thus, t</w:t>
      </w:r>
      <w:r w:rsidR="001D178D" w:rsidRPr="001D178D">
        <w:t xml:space="preserve">he choice of commodities to </w:t>
      </w:r>
      <w:r w:rsidR="00A76D16">
        <w:t xml:space="preserve">be </w:t>
      </w:r>
      <w:r w:rsidR="001D178D" w:rsidRPr="001D178D">
        <w:t>use</w:t>
      </w:r>
      <w:r w:rsidR="00A76D16">
        <w:t>d in</w:t>
      </w:r>
      <w:r w:rsidR="001D178D" w:rsidRPr="001D178D">
        <w:t xml:space="preserve"> estimating the cost of obtaining 2,100 kcal is not a trivial one</w:t>
      </w:r>
      <w:r w:rsidR="001D178D">
        <w:t xml:space="preserve"> </w:t>
      </w:r>
      <w:sdt>
        <w:sdtPr>
          <w:id w:val="-1104261158"/>
          <w:citation/>
        </w:sdtPr>
        <w:sdtEndPr/>
        <w:sdtContent>
          <w:r w:rsidR="001D178D">
            <w:fldChar w:fldCharType="begin"/>
          </w:r>
          <w:r w:rsidR="001D178D">
            <w:instrText xml:space="preserve"> CITATION Wor14 \l 1033 </w:instrText>
          </w:r>
          <w:r w:rsidR="001D178D">
            <w:fldChar w:fldCharType="separate"/>
          </w:r>
          <w:r w:rsidR="009A621F">
            <w:rPr>
              <w:noProof/>
            </w:rPr>
            <w:t>(World Bank, 2014)</w:t>
          </w:r>
          <w:r w:rsidR="001D178D">
            <w:fldChar w:fldCharType="end"/>
          </w:r>
        </w:sdtContent>
      </w:sdt>
      <w:r w:rsidR="00A76D16">
        <w:t xml:space="preserve">. </w:t>
      </w:r>
    </w:p>
    <w:tbl>
      <w:tblPr>
        <w:tblStyle w:val="TableGrid"/>
        <w:tblpPr w:leftFromText="180" w:rightFromText="180" w:vertAnchor="text" w:horzAnchor="margin" w:tblpXSpec="right" w:tblpY="-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tblGrid>
      <w:tr w:rsidR="00942D8E" w14:paraId="5A0D0684" w14:textId="77777777" w:rsidTr="00942D8E">
        <w:trPr>
          <w:trHeight w:val="288"/>
        </w:trPr>
        <w:tc>
          <w:tcPr>
            <w:tcW w:w="4005" w:type="dxa"/>
          </w:tcPr>
          <w:p w14:paraId="4B10AEC1" w14:textId="450FBB17" w:rsidR="00942D8E" w:rsidRPr="006A0B7A" w:rsidRDefault="00942D8E" w:rsidP="00942D8E">
            <w:pPr>
              <w:pStyle w:val="Caption"/>
              <w:spacing w:after="0"/>
            </w:pPr>
            <w:bookmarkStart w:id="2" w:name="_Ref459805055"/>
            <w:r>
              <w:t xml:space="preserve">Table </w:t>
            </w:r>
            <w:r w:rsidR="004D0C3D">
              <w:fldChar w:fldCharType="begin"/>
            </w:r>
            <w:r w:rsidR="004D0C3D">
              <w:instrText xml:space="preserve"> SEQ Table \* ARABIC </w:instrText>
            </w:r>
            <w:r w:rsidR="004D0C3D">
              <w:fldChar w:fldCharType="separate"/>
            </w:r>
            <w:r w:rsidR="00A53470">
              <w:rPr>
                <w:noProof/>
              </w:rPr>
              <w:t>1</w:t>
            </w:r>
            <w:r w:rsidR="004D0C3D">
              <w:rPr>
                <w:noProof/>
              </w:rPr>
              <w:fldChar w:fldCharType="end"/>
            </w:r>
            <w:bookmarkEnd w:id="2"/>
            <w:r>
              <w:t xml:space="preserve"> </w:t>
            </w:r>
            <w:r w:rsidR="004E3599">
              <w:t xml:space="preserve">- </w:t>
            </w:r>
            <w:r>
              <w:t>Armenia’s Food Basket in June 2016</w:t>
            </w:r>
          </w:p>
        </w:tc>
      </w:tr>
      <w:tr w:rsidR="00942D8E" w14:paraId="2868F3F5" w14:textId="77777777" w:rsidTr="00942D8E">
        <w:trPr>
          <w:trHeight w:val="4909"/>
        </w:trPr>
        <w:tc>
          <w:tcPr>
            <w:tcW w:w="4005" w:type="dxa"/>
          </w:tcPr>
          <w:p w14:paraId="40BFDF14" w14:textId="2C92A2EA" w:rsidR="00942D8E" w:rsidRDefault="00C17674" w:rsidP="00942D8E">
            <w:pPr>
              <w:jc w:val="both"/>
            </w:pPr>
            <w:r w:rsidRPr="00C17674">
              <w:rPr>
                <w:noProof/>
              </w:rPr>
              <w:drawing>
                <wp:inline distT="0" distB="0" distL="0" distR="0" wp14:anchorId="0FF278FD" wp14:editId="6DFAF388">
                  <wp:extent cx="2470624" cy="33832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0624" cy="3383280"/>
                          </a:xfrm>
                          <a:prstGeom prst="rect">
                            <a:avLst/>
                          </a:prstGeom>
                          <a:noFill/>
                          <a:ln>
                            <a:noFill/>
                          </a:ln>
                        </pic:spPr>
                      </pic:pic>
                    </a:graphicData>
                  </a:graphic>
                </wp:inline>
              </w:drawing>
            </w:r>
          </w:p>
          <w:p w14:paraId="1BDDD60A" w14:textId="77777777" w:rsidR="00942D8E" w:rsidRPr="001E6676" w:rsidRDefault="00942D8E" w:rsidP="00942D8E">
            <w:pPr>
              <w:jc w:val="both"/>
              <w:rPr>
                <w:sz w:val="10"/>
                <w:szCs w:val="10"/>
              </w:rPr>
            </w:pPr>
          </w:p>
        </w:tc>
      </w:tr>
    </w:tbl>
    <w:p w14:paraId="122482C2" w14:textId="1993CDD5" w:rsidR="00A3234E" w:rsidRDefault="00CB20CC" w:rsidP="001115CB">
      <w:pPr>
        <w:jc w:val="both"/>
      </w:pPr>
      <w:r>
        <w:t>T</w:t>
      </w:r>
      <w:r w:rsidR="00B303A6">
        <w:t xml:space="preserve">he </w:t>
      </w:r>
      <w:r w:rsidR="00090298">
        <w:t>choice of the products in</w:t>
      </w:r>
      <w:r w:rsidR="00B303A6">
        <w:t xml:space="preserve"> the food basket </w:t>
      </w:r>
      <w:r w:rsidR="00090298">
        <w:t xml:space="preserve">used </w:t>
      </w:r>
      <w:r w:rsidR="00B303A6">
        <w:t xml:space="preserve">for the </w:t>
      </w:r>
      <w:r w:rsidR="00090298">
        <w:t xml:space="preserve">calculation of the </w:t>
      </w:r>
      <w:r w:rsidR="008C7D7E">
        <w:t>SFE</w:t>
      </w:r>
      <w:r w:rsidR="008C7D7E" w:rsidRPr="00C84BA0">
        <w:t xml:space="preserve"> </w:t>
      </w:r>
      <w:r w:rsidR="00090298">
        <w:t xml:space="preserve">depends </w:t>
      </w:r>
      <w:r>
        <w:t xml:space="preserve">on the caloric contribution </w:t>
      </w:r>
      <w:r w:rsidR="00FB4676">
        <w:t xml:space="preserve">of the item </w:t>
      </w:r>
      <w:r w:rsidR="00823CBE">
        <w:t xml:space="preserve">itself </w:t>
      </w:r>
      <w:r>
        <w:t xml:space="preserve">to the </w:t>
      </w:r>
      <w:r w:rsidR="00FB4676">
        <w:t xml:space="preserve">Dietary Energy Consumption (DEC) as reported by WFP </w:t>
      </w:r>
      <w:sdt>
        <w:sdtPr>
          <w:id w:val="-526951109"/>
          <w:citation/>
        </w:sdtPr>
        <w:sdtEndPr/>
        <w:sdtContent>
          <w:r w:rsidR="00FB4676">
            <w:fldChar w:fldCharType="begin"/>
          </w:r>
          <w:r w:rsidR="00FB4676">
            <w:instrText xml:space="preserve"> CITATION Wor16 \l 1033 </w:instrText>
          </w:r>
          <w:r w:rsidR="00FB4676">
            <w:fldChar w:fldCharType="separate"/>
          </w:r>
          <w:r w:rsidR="009A621F">
            <w:rPr>
              <w:noProof/>
            </w:rPr>
            <w:t>(World Food Programme, 2016)</w:t>
          </w:r>
          <w:r w:rsidR="00FB4676">
            <w:fldChar w:fldCharType="end"/>
          </w:r>
        </w:sdtContent>
      </w:sdt>
      <w:r w:rsidR="00FB4676">
        <w:t xml:space="preserve">. </w:t>
      </w:r>
      <w:r w:rsidR="00850732">
        <w:t>The item’s caloric share</w:t>
      </w:r>
      <w:r w:rsidR="009624B9">
        <w:t xml:space="preserve"> </w:t>
      </w:r>
      <w:r w:rsidR="00850732">
        <w:t>to the DEC is transformed in quantity consumed</w:t>
      </w:r>
      <w:r w:rsidR="009C21F4">
        <w:t xml:space="preserve"> assuming an ideal food basket of 2,100 kcal</w:t>
      </w:r>
      <w:r w:rsidR="00EA6405">
        <w:t>/person/day</w:t>
      </w:r>
      <w:r w:rsidR="001035CD">
        <w:t xml:space="preserve"> (Dietary Energy Requirement - DER)</w:t>
      </w:r>
      <w:r w:rsidR="00850732">
        <w:t xml:space="preserve">; </w:t>
      </w:r>
      <w:r w:rsidR="003612CB">
        <w:t>however</w:t>
      </w:r>
      <w:r w:rsidR="00850732">
        <w:t xml:space="preserve">, </w:t>
      </w:r>
      <w:r w:rsidR="009624B9">
        <w:t xml:space="preserve">the food basket </w:t>
      </w:r>
      <w:r w:rsidR="00850732">
        <w:t xml:space="preserve">used for the </w:t>
      </w:r>
      <w:r w:rsidR="008C7D7E">
        <w:t>SFE</w:t>
      </w:r>
      <w:r w:rsidR="00850732">
        <w:t xml:space="preserve"> </w:t>
      </w:r>
      <w:r w:rsidR="009624B9">
        <w:t xml:space="preserve">is unlikely to </w:t>
      </w:r>
      <w:r w:rsidR="00850732">
        <w:t>provide 2,100 kcal due to lack of data.</w:t>
      </w:r>
      <w:r w:rsidR="009C21F4">
        <w:t xml:space="preserve"> As an example, </w:t>
      </w:r>
      <w:r w:rsidR="00D529FC">
        <w:fldChar w:fldCharType="begin"/>
      </w:r>
      <w:r w:rsidR="00D529FC">
        <w:instrText xml:space="preserve"> REF _Ref459805055 \h </w:instrText>
      </w:r>
      <w:r w:rsidR="00D529FC">
        <w:fldChar w:fldCharType="separate"/>
      </w:r>
      <w:r w:rsidR="00D529FC">
        <w:t xml:space="preserve">Table </w:t>
      </w:r>
      <w:r w:rsidR="00D529FC">
        <w:rPr>
          <w:noProof/>
        </w:rPr>
        <w:t>1</w:t>
      </w:r>
      <w:r w:rsidR="00D529FC">
        <w:fldChar w:fldCharType="end"/>
      </w:r>
      <w:r w:rsidR="00D529FC">
        <w:t xml:space="preserve"> report</w:t>
      </w:r>
      <w:r w:rsidR="009C21F4">
        <w:t>s</w:t>
      </w:r>
      <w:r w:rsidR="00D529FC">
        <w:t xml:space="preserve"> the list of item</w:t>
      </w:r>
      <w:r w:rsidR="009C21F4">
        <w:t>s for</w:t>
      </w:r>
      <w:r w:rsidR="00D529FC">
        <w:t xml:space="preserve"> the Armenia’</w:t>
      </w:r>
      <w:r w:rsidR="00EA6405">
        <w:t>s</w:t>
      </w:r>
      <w:r w:rsidR="009C21F4">
        <w:t xml:space="preserve"> food basket and the caloric contribution of each item. Due to lack of price</w:t>
      </w:r>
      <w:r w:rsidR="00DE3641">
        <w:t>s</w:t>
      </w:r>
      <w:r w:rsidR="009C21F4">
        <w:t xml:space="preserve"> for many items</w:t>
      </w:r>
      <w:r w:rsidR="00630DF5">
        <w:t xml:space="preserve"> and other reason explained in the following paragraph</w:t>
      </w:r>
      <w:r w:rsidR="009C21F4">
        <w:t xml:space="preserve">, only wheat and milk </w:t>
      </w:r>
      <w:r w:rsidR="00630DF5">
        <w:t>could</w:t>
      </w:r>
      <w:r w:rsidR="009C21F4">
        <w:t xml:space="preserve"> be used for the calculation of the </w:t>
      </w:r>
      <w:r w:rsidR="008C7D7E">
        <w:t>SFE</w:t>
      </w:r>
      <w:r w:rsidR="008C7D7E" w:rsidRPr="00C84BA0">
        <w:t xml:space="preserve"> </w:t>
      </w:r>
      <w:r w:rsidR="00EB4F67">
        <w:t>in June 2016</w:t>
      </w:r>
      <w:r w:rsidR="009C21F4">
        <w:t>. Thus, the food basket</w:t>
      </w:r>
      <w:r w:rsidR="001C5B51">
        <w:t xml:space="preserve"> provide</w:t>
      </w:r>
      <w:r w:rsidR="00DE3641">
        <w:t>s only</w:t>
      </w:r>
      <w:r w:rsidR="001C5B51">
        <w:t xml:space="preserve"> </w:t>
      </w:r>
      <w:r w:rsidR="001035CD">
        <w:t xml:space="preserve">48 percent of DER, which is </w:t>
      </w:r>
      <w:r w:rsidR="001C5B51">
        <w:t>1</w:t>
      </w:r>
      <w:r w:rsidR="001035CD">
        <w:t>,</w:t>
      </w:r>
      <w:r w:rsidR="001C5B51">
        <w:t>008 kcal/day/person</w:t>
      </w:r>
      <w:r w:rsidR="003612CB">
        <w:t>.</w:t>
      </w:r>
    </w:p>
    <w:p w14:paraId="5B95C0D7" w14:textId="7F3A55AE" w:rsidR="000009BE" w:rsidRDefault="00113C7E" w:rsidP="005B4224">
      <w:pPr>
        <w:widowControl w:val="0"/>
        <w:jc w:val="both"/>
      </w:pPr>
      <w:r>
        <w:t xml:space="preserve">As mentioned at the beginning of this section, the composition of the food basket may change over the years, but </w:t>
      </w:r>
      <w:r w:rsidR="00BA6BDC">
        <w:t>t</w:t>
      </w:r>
      <w:r w:rsidR="001C0E28" w:rsidRPr="001C0E28">
        <w:t xml:space="preserve">he sum of the caloric contribution of the food items in the basket </w:t>
      </w:r>
      <w:r w:rsidR="0022384E">
        <w:t xml:space="preserve">is kept </w:t>
      </w:r>
      <w:r w:rsidR="001C0E28">
        <w:t>constant</w:t>
      </w:r>
      <w:r>
        <w:t>. This result is obtained</w:t>
      </w:r>
      <w:r w:rsidR="001C0E28">
        <w:t xml:space="preserve"> by </w:t>
      </w:r>
      <w:r w:rsidR="00EA6405">
        <w:t xml:space="preserve">(i) </w:t>
      </w:r>
      <w:r w:rsidR="0022384E">
        <w:t xml:space="preserve">fixing the caloric content of the country food basket equal to </w:t>
      </w:r>
      <w:r w:rsidR="001C0E28">
        <w:t xml:space="preserve">the </w:t>
      </w:r>
      <w:r w:rsidR="0022384E">
        <w:t>maximum</w:t>
      </w:r>
      <w:r w:rsidR="00AC5243" w:rsidRPr="005951FD">
        <w:t xml:space="preserve"> common caloric </w:t>
      </w:r>
      <w:r w:rsidR="0022384E">
        <w:t>intake in the country across years</w:t>
      </w:r>
      <w:r w:rsidR="003612CB">
        <w:t xml:space="preserve"> and </w:t>
      </w:r>
      <w:r w:rsidR="00EA6405">
        <w:t xml:space="preserve">(ii) </w:t>
      </w:r>
      <w:r w:rsidR="003612CB">
        <w:t xml:space="preserve">including the most consumed food items. </w:t>
      </w:r>
      <w:r w:rsidR="003D0A60">
        <w:t xml:space="preserve">In </w:t>
      </w:r>
      <w:r w:rsidR="00200F1C">
        <w:t>the example of Armenia</w:t>
      </w:r>
      <w:r w:rsidR="003D0A60">
        <w:t xml:space="preserve">, </w:t>
      </w:r>
      <w:r w:rsidR="00200F1C">
        <w:t xml:space="preserve">the </w:t>
      </w:r>
      <w:r w:rsidR="003D0A60">
        <w:t xml:space="preserve">food basket </w:t>
      </w:r>
      <w:r w:rsidR="008D605D">
        <w:t>could</w:t>
      </w:r>
      <w:r w:rsidR="005B4224">
        <w:t xml:space="preserve"> have</w:t>
      </w:r>
      <w:r w:rsidR="008D605D">
        <w:t xml:space="preserve"> provide</w:t>
      </w:r>
      <w:r w:rsidR="005B4224">
        <w:t>d</w:t>
      </w:r>
      <w:r w:rsidR="008D605D">
        <w:t xml:space="preserve"> 80</w:t>
      </w:r>
      <w:r w:rsidR="000E4BAC">
        <w:t xml:space="preserve"> percent</w:t>
      </w:r>
      <w:r w:rsidR="008D605D">
        <w:t xml:space="preserve"> of </w:t>
      </w:r>
      <w:r w:rsidR="005063A9">
        <w:t>DER</w:t>
      </w:r>
      <w:r w:rsidR="008D605D">
        <w:t xml:space="preserve"> from April 2012 up today, but </w:t>
      </w:r>
      <w:r w:rsidR="003D0A60">
        <w:t xml:space="preserve">only </w:t>
      </w:r>
      <w:r w:rsidR="008D605D">
        <w:t>48</w:t>
      </w:r>
      <w:r w:rsidR="000E4BAC">
        <w:t xml:space="preserve"> percent</w:t>
      </w:r>
      <w:r w:rsidR="008D605D">
        <w:t xml:space="preserve"> in the previous years; thus,</w:t>
      </w:r>
      <w:r w:rsidR="007A3CB6">
        <w:t xml:space="preserve"> the food basket for </w:t>
      </w:r>
      <w:r w:rsidR="008D605D">
        <w:t xml:space="preserve">Armenia </w:t>
      </w:r>
      <w:r w:rsidR="00114514">
        <w:t xml:space="preserve">was </w:t>
      </w:r>
      <w:r w:rsidR="008D605D">
        <w:t>built in such a way to provide</w:t>
      </w:r>
      <w:r w:rsidR="000E4BAC">
        <w:t xml:space="preserve"> </w:t>
      </w:r>
      <w:r w:rsidR="005B4224">
        <w:t xml:space="preserve">only </w:t>
      </w:r>
      <w:r w:rsidR="008D605D">
        <w:t xml:space="preserve">48 </w:t>
      </w:r>
      <w:r w:rsidR="000E4BAC">
        <w:t>percent</w:t>
      </w:r>
      <w:r w:rsidR="003D0A60">
        <w:t xml:space="preserve"> of </w:t>
      </w:r>
      <w:r w:rsidR="005063A9">
        <w:t xml:space="preserve">DER </w:t>
      </w:r>
      <w:r w:rsidR="003D0A60">
        <w:t xml:space="preserve">across </w:t>
      </w:r>
      <w:r w:rsidR="007A3CB6">
        <w:t>the entire</w:t>
      </w:r>
      <w:r w:rsidR="003D0A60">
        <w:t xml:space="preserve"> time span.</w:t>
      </w:r>
      <w:r w:rsidR="006A0B7A">
        <w:t xml:space="preserve"> </w:t>
      </w:r>
      <w:r w:rsidR="005B4224">
        <w:t>T</w:t>
      </w:r>
      <w:r w:rsidR="005B4224" w:rsidRPr="005B4224">
        <w:t xml:space="preserve">he proportional caloric contribution </w:t>
      </w:r>
      <w:r w:rsidR="005B4224">
        <w:t xml:space="preserve">to DEC </w:t>
      </w:r>
      <w:r w:rsidR="005B4224" w:rsidRPr="005B4224">
        <w:t xml:space="preserve">is </w:t>
      </w:r>
      <w:r w:rsidR="005B4224">
        <w:t xml:space="preserve">used as </w:t>
      </w:r>
      <w:r w:rsidR="005B4224" w:rsidRPr="005B4224">
        <w:t>a proxy of the relative importance of the item in the food basket</w:t>
      </w:r>
      <w:sdt>
        <w:sdtPr>
          <w:id w:val="966239821"/>
          <w:citation/>
        </w:sdtPr>
        <w:sdtEndPr/>
        <w:sdtContent>
          <w:r w:rsidR="005B4224">
            <w:fldChar w:fldCharType="begin"/>
          </w:r>
          <w:r w:rsidR="005B4224">
            <w:instrText xml:space="preserve"> CITATION Wor16 \l 1033 </w:instrText>
          </w:r>
          <w:r w:rsidR="005B4224">
            <w:fldChar w:fldCharType="separate"/>
          </w:r>
          <w:r w:rsidR="009A621F">
            <w:rPr>
              <w:noProof/>
            </w:rPr>
            <w:t xml:space="preserve"> (World Food Programme, 2016)</w:t>
          </w:r>
          <w:r w:rsidR="005B4224">
            <w:fldChar w:fldCharType="end"/>
          </w:r>
        </w:sdtContent>
      </w:sdt>
      <w:r w:rsidR="00630DF5">
        <w:t>;</w:t>
      </w:r>
      <w:r w:rsidR="005B4224">
        <w:t xml:space="preserve"> </w:t>
      </w:r>
      <w:r w:rsidR="00630DF5">
        <w:t>t</w:t>
      </w:r>
      <w:r w:rsidR="005B4224">
        <w:t>hus, t</w:t>
      </w:r>
      <w:r w:rsidR="006A0B7A">
        <w:t>he higher the percentage caloric contribution of a product, the most likely it will be included in the food basket. In Armenia, price for milk was not available before April 2012; thus, potatoes and rice were included in the food basket together with wheat in or</w:t>
      </w:r>
      <w:r w:rsidR="005063A9">
        <w:t>der to provide 48 percent of DER</w:t>
      </w:r>
      <w:r w:rsidR="006A0B7A">
        <w:t xml:space="preserve">. </w:t>
      </w:r>
      <w:r w:rsidR="000009BE">
        <w:t>Once that</w:t>
      </w:r>
      <w:r w:rsidR="006A0B7A">
        <w:t xml:space="preserve"> price for milk was available, it took the place of rice a</w:t>
      </w:r>
      <w:r w:rsidR="005063A9">
        <w:t xml:space="preserve">nd potatoes in the food basket because its share to DEC was higher. </w:t>
      </w:r>
    </w:p>
    <w:p w14:paraId="65429311" w14:textId="23A60FBD" w:rsidR="00C12B48" w:rsidRDefault="0053662B" w:rsidP="0041116A">
      <w:pPr>
        <w:widowControl w:val="0"/>
        <w:jc w:val="both"/>
      </w:pPr>
      <w:r>
        <w:t>Furthermore</w:t>
      </w:r>
      <w:r w:rsidR="000009BE">
        <w:t xml:space="preserve">, in order to get a food basket more significant possible, when </w:t>
      </w:r>
      <w:r w:rsidR="00744206" w:rsidRPr="00C12B48">
        <w:t xml:space="preserve">the use of the last five years of observations </w:t>
      </w:r>
      <w:r w:rsidR="000E4BAC" w:rsidRPr="00C12B48">
        <w:t xml:space="preserve">only </w:t>
      </w:r>
      <w:r w:rsidR="00744206" w:rsidRPr="00C12B48">
        <w:t xml:space="preserve">allows for a higher caloric </w:t>
      </w:r>
      <w:r w:rsidR="0022384E">
        <w:t>content</w:t>
      </w:r>
      <w:r w:rsidR="00C12B48" w:rsidRPr="00C12B48">
        <w:t xml:space="preserve"> </w:t>
      </w:r>
      <w:r w:rsidR="00630DF5">
        <w:t>of</w:t>
      </w:r>
      <w:r w:rsidR="00744206" w:rsidRPr="00C12B48">
        <w:t xml:space="preserve"> the </w:t>
      </w:r>
      <w:r w:rsidR="00C12B48" w:rsidRPr="00C12B48">
        <w:t xml:space="preserve">food </w:t>
      </w:r>
      <w:r w:rsidR="00744206" w:rsidRPr="00C12B48">
        <w:t>basket</w:t>
      </w:r>
      <w:r w:rsidR="00C12B48" w:rsidRPr="00C12B48">
        <w:t>, older</w:t>
      </w:r>
      <w:r w:rsidR="00744206" w:rsidRPr="00C12B48">
        <w:t xml:space="preserve"> observations are </w:t>
      </w:r>
      <w:r w:rsidR="00C12B48" w:rsidRPr="00C12B48">
        <w:t>dropped</w:t>
      </w:r>
      <w:r w:rsidR="001F430B">
        <w:t xml:space="preserve"> and the </w:t>
      </w:r>
      <w:r w:rsidR="008C7D7E">
        <w:t>SFE</w:t>
      </w:r>
      <w:r w:rsidR="001F430B">
        <w:t xml:space="preserve"> is built using </w:t>
      </w:r>
      <w:r w:rsidR="005D0177">
        <w:t xml:space="preserve">only </w:t>
      </w:r>
      <w:r w:rsidR="001F430B">
        <w:t>the last five years of observations.</w:t>
      </w:r>
      <w:r w:rsidR="001A2953">
        <w:t xml:space="preserve"> In the Armenia example, it will be possible to use a food basket covering 80 percent of DER </w:t>
      </w:r>
      <w:r w:rsidR="007F326F">
        <w:t xml:space="preserve">for the </w:t>
      </w:r>
      <w:r w:rsidR="008C7D7E">
        <w:t>SFE</w:t>
      </w:r>
      <w:r w:rsidR="007F326F">
        <w:t xml:space="preserve"> calculation in</w:t>
      </w:r>
      <w:r w:rsidR="001A2953">
        <w:t xml:space="preserve"> April 2017.</w:t>
      </w:r>
    </w:p>
    <w:p w14:paraId="4610DCAD" w14:textId="39CDFB47" w:rsidR="00AC5243" w:rsidRPr="005951FD" w:rsidRDefault="000009BE" w:rsidP="003E583E">
      <w:pPr>
        <w:widowControl w:val="0"/>
        <w:jc w:val="both"/>
      </w:pPr>
      <w:r>
        <w:lastRenderedPageBreak/>
        <w:t>Finally</w:t>
      </w:r>
      <w:r w:rsidR="00AC5243" w:rsidRPr="005951FD">
        <w:t>, when different price series for the same food group are available</w:t>
      </w:r>
      <w:r w:rsidR="005D0177">
        <w:t xml:space="preserve"> (e.g. price for different varieties of rice)</w:t>
      </w:r>
      <w:r w:rsidR="00AC5243" w:rsidRPr="005951FD">
        <w:t xml:space="preserve">, </w:t>
      </w:r>
      <w:r w:rsidR="00EB29C8">
        <w:t xml:space="preserve">only one item per group is included in the basket. Priority for inclusion </w:t>
      </w:r>
      <w:r w:rsidR="00507F0C">
        <w:t>is</w:t>
      </w:r>
      <w:r w:rsidR="00AC5243" w:rsidRPr="005951FD">
        <w:t xml:space="preserve"> assigned according to the following criteria:</w:t>
      </w:r>
    </w:p>
    <w:p w14:paraId="0FEEA919" w14:textId="292E3FE5" w:rsidR="00AC5243" w:rsidRPr="005951FD" w:rsidRDefault="00AC5243" w:rsidP="003E583E">
      <w:pPr>
        <w:pStyle w:val="ListParagraph"/>
        <w:widowControl w:val="0"/>
        <w:numPr>
          <w:ilvl w:val="4"/>
          <w:numId w:val="6"/>
        </w:numPr>
      </w:pPr>
      <w:r w:rsidRPr="005951FD">
        <w:t xml:space="preserve">the longest and </w:t>
      </w:r>
      <w:r w:rsidR="00A072D9">
        <w:t>most</w:t>
      </w:r>
      <w:r w:rsidRPr="005951FD">
        <w:t xml:space="preserve"> complete series, and within this group the </w:t>
      </w:r>
      <w:r w:rsidR="00507F0C" w:rsidRPr="005951FD">
        <w:t>cheapest</w:t>
      </w:r>
      <w:r w:rsidR="00507F0C">
        <w:rPr>
          <w:rStyle w:val="FootnoteReference"/>
        </w:rPr>
        <w:footnoteReference w:id="3"/>
      </w:r>
      <w:r w:rsidR="00507F0C" w:rsidRPr="005951FD">
        <w:t xml:space="preserve"> </w:t>
      </w:r>
      <w:r w:rsidRPr="005951FD">
        <w:t>item</w:t>
      </w:r>
      <w:r w:rsidR="00200A58" w:rsidRPr="005951FD">
        <w:t>;</w:t>
      </w:r>
      <w:r w:rsidRPr="005951FD">
        <w:t xml:space="preserve"> </w:t>
      </w:r>
    </w:p>
    <w:p w14:paraId="767C1F47" w14:textId="545B068F" w:rsidR="005D0177" w:rsidRDefault="00AC5243" w:rsidP="005D0177">
      <w:pPr>
        <w:pStyle w:val="ListParagraph"/>
        <w:widowControl w:val="0"/>
        <w:numPr>
          <w:ilvl w:val="4"/>
          <w:numId w:val="6"/>
        </w:numPr>
      </w:pPr>
      <w:r w:rsidRPr="005951FD">
        <w:t>the longest series</w:t>
      </w:r>
      <w:r w:rsidR="00200A58" w:rsidRPr="005951FD">
        <w:t xml:space="preserve">, and within this group the </w:t>
      </w:r>
      <w:r w:rsidR="00507F0C" w:rsidRPr="005951FD">
        <w:t xml:space="preserve">cheapest </w:t>
      </w:r>
      <w:r w:rsidR="00200A58" w:rsidRPr="005951FD">
        <w:t>item;</w:t>
      </w:r>
      <w:r w:rsidR="009E75B4">
        <w:t xml:space="preserve"> </w:t>
      </w:r>
    </w:p>
    <w:p w14:paraId="3045D70F" w14:textId="3D6A17CE" w:rsidR="00AC5243" w:rsidRPr="005951FD" w:rsidRDefault="005D0177" w:rsidP="005D0177">
      <w:pPr>
        <w:pStyle w:val="ListParagraph"/>
        <w:widowControl w:val="0"/>
        <w:numPr>
          <w:ilvl w:val="4"/>
          <w:numId w:val="6"/>
        </w:numPr>
      </w:pPr>
      <w:r>
        <w:t xml:space="preserve">the </w:t>
      </w:r>
      <w:r w:rsidR="00AC5243" w:rsidRPr="005951FD">
        <w:t>series meeting the minimum data requirements</w:t>
      </w:r>
      <w:r w:rsidR="005951FD">
        <w:rPr>
          <w:rStyle w:val="FootnoteReference"/>
        </w:rPr>
        <w:footnoteReference w:id="4"/>
      </w:r>
      <w:r w:rsidR="00200A58" w:rsidRPr="005951FD">
        <w:t xml:space="preserve">, and within this group the cheapest item. </w:t>
      </w:r>
    </w:p>
    <w:p w14:paraId="02581F16" w14:textId="5D13196A" w:rsidR="00AC5243" w:rsidRDefault="00BA6BDC" w:rsidP="003E583E">
      <w:pPr>
        <w:widowControl w:val="0"/>
        <w:jc w:val="both"/>
      </w:pPr>
      <w:r>
        <w:t>Two example</w:t>
      </w:r>
      <w:r w:rsidR="004B702C">
        <w:t>s</w:t>
      </w:r>
      <w:r>
        <w:t xml:space="preserve"> below </w:t>
      </w:r>
      <w:r w:rsidR="001E6676">
        <w:t>(</w:t>
      </w:r>
      <w:r w:rsidR="001E6676">
        <w:fldChar w:fldCharType="begin"/>
      </w:r>
      <w:r w:rsidR="001E6676">
        <w:instrText xml:space="preserve"> REF _Ref459818582 \h </w:instrText>
      </w:r>
      <w:r w:rsidR="001E6676">
        <w:fldChar w:fldCharType="separate"/>
      </w:r>
      <w:r w:rsidR="001E6676">
        <w:t xml:space="preserve">Figure </w:t>
      </w:r>
      <w:r w:rsidR="001E6676">
        <w:rPr>
          <w:noProof/>
        </w:rPr>
        <w:t>1</w:t>
      </w:r>
      <w:r w:rsidR="001E6676">
        <w:fldChar w:fldCharType="end"/>
      </w:r>
      <w:r w:rsidR="001E6676">
        <w:t xml:space="preserve"> and </w:t>
      </w:r>
      <w:r w:rsidR="001E6676">
        <w:fldChar w:fldCharType="begin"/>
      </w:r>
      <w:r w:rsidR="001E6676">
        <w:instrText xml:space="preserve"> REF _Ref459818586 \h </w:instrText>
      </w:r>
      <w:r w:rsidR="001E6676">
        <w:fldChar w:fldCharType="separate"/>
      </w:r>
      <w:r w:rsidR="001E6676">
        <w:t xml:space="preserve">Figure </w:t>
      </w:r>
      <w:r w:rsidR="001E6676">
        <w:rPr>
          <w:noProof/>
        </w:rPr>
        <w:t>2</w:t>
      </w:r>
      <w:r w:rsidR="001E6676">
        <w:fldChar w:fldCharType="end"/>
      </w:r>
      <w:r w:rsidR="001E6676">
        <w:t xml:space="preserve">) </w:t>
      </w:r>
      <w:r>
        <w:t xml:space="preserve">can </w:t>
      </w:r>
      <w:r w:rsidR="00485615">
        <w:t xml:space="preserve">further </w:t>
      </w:r>
      <w:r>
        <w:t xml:space="preserve">help </w:t>
      </w:r>
      <w:r w:rsidR="00485615">
        <w:t xml:space="preserve">to </w:t>
      </w:r>
      <w:r>
        <w:t xml:space="preserve">understand the rules used to build the food basket. </w:t>
      </w:r>
    </w:p>
    <w:p w14:paraId="4317703E" w14:textId="07894BAF" w:rsidR="009E75B4" w:rsidRDefault="009E75B4" w:rsidP="009D6C95">
      <w:pPr>
        <w:pStyle w:val="Caption"/>
        <w:spacing w:after="0"/>
      </w:pPr>
      <w:bookmarkStart w:id="3" w:name="_Ref459818582"/>
      <w:r>
        <w:t xml:space="preserve">Figure </w:t>
      </w:r>
      <w:r w:rsidR="004D0C3D">
        <w:fldChar w:fldCharType="begin"/>
      </w:r>
      <w:r w:rsidR="004D0C3D">
        <w:instrText xml:space="preserve"> SEQ Figure \* ARABIC </w:instrText>
      </w:r>
      <w:r w:rsidR="004D0C3D">
        <w:fldChar w:fldCharType="separate"/>
      </w:r>
      <w:r w:rsidR="005E59E4">
        <w:rPr>
          <w:noProof/>
        </w:rPr>
        <w:t>1</w:t>
      </w:r>
      <w:r w:rsidR="004D0C3D">
        <w:rPr>
          <w:noProof/>
        </w:rPr>
        <w:fldChar w:fldCharType="end"/>
      </w:r>
      <w:bookmarkEnd w:id="3"/>
      <w:r>
        <w:t xml:space="preserve"> </w:t>
      </w:r>
      <w:r w:rsidR="004E3599">
        <w:t xml:space="preserve">- </w:t>
      </w:r>
      <w:r>
        <w:t>Food basket in C</w:t>
      </w:r>
      <w:r w:rsidR="00E8304D">
        <w:t>ô</w:t>
      </w:r>
      <w:r>
        <w:t>te d'Ivoire</w:t>
      </w:r>
    </w:p>
    <w:tbl>
      <w:tblPr>
        <w:tblStyle w:val="TableGrid"/>
        <w:tblW w:w="9355"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036"/>
        <w:gridCol w:w="3319"/>
      </w:tblGrid>
      <w:tr w:rsidR="009E75B4" w14:paraId="094C9FE1" w14:textId="7F6CDA51" w:rsidTr="00A95681">
        <w:tc>
          <w:tcPr>
            <w:tcW w:w="6036" w:type="dxa"/>
          </w:tcPr>
          <w:p w14:paraId="4EB177C5" w14:textId="441FC538" w:rsidR="009E75B4" w:rsidRDefault="009E75B4" w:rsidP="009E75B4">
            <w:pPr>
              <w:widowControl w:val="0"/>
              <w:jc w:val="both"/>
            </w:pPr>
            <w:r w:rsidRPr="00900DC4">
              <w:rPr>
                <w:noProof/>
              </w:rPr>
              <w:t xml:space="preserve"> </w:t>
            </w:r>
            <w:r w:rsidR="003C2295" w:rsidRPr="003C2295">
              <w:rPr>
                <w:noProof/>
              </w:rPr>
              <w:drawing>
                <wp:inline distT="0" distB="0" distL="0" distR="0" wp14:anchorId="11DDC931" wp14:editId="111B0A66">
                  <wp:extent cx="3763797" cy="14668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618" t="12469" r="6068" b="7663"/>
                          <a:stretch/>
                        </pic:blipFill>
                        <pic:spPr bwMode="auto">
                          <a:xfrm>
                            <a:off x="0" y="0"/>
                            <a:ext cx="3804583" cy="14827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19" w:type="dxa"/>
            <w:vMerge w:val="restart"/>
          </w:tcPr>
          <w:p w14:paraId="2234FE0E" w14:textId="77777777" w:rsidR="00DC1763" w:rsidRDefault="00DC1763" w:rsidP="00A95681">
            <w:pPr>
              <w:widowControl w:val="0"/>
              <w:ind w:right="90"/>
              <w:jc w:val="both"/>
              <w:rPr>
                <w:noProof/>
                <w:sz w:val="20"/>
                <w:szCs w:val="20"/>
              </w:rPr>
            </w:pPr>
          </w:p>
          <w:p w14:paraId="6603169B" w14:textId="77777777" w:rsidR="00DC1763" w:rsidRDefault="00DC1763" w:rsidP="00A95681">
            <w:pPr>
              <w:widowControl w:val="0"/>
              <w:ind w:right="90"/>
              <w:jc w:val="both"/>
              <w:rPr>
                <w:noProof/>
                <w:sz w:val="20"/>
                <w:szCs w:val="20"/>
              </w:rPr>
            </w:pPr>
          </w:p>
          <w:p w14:paraId="60DD9712" w14:textId="77777777" w:rsidR="009E75B4" w:rsidRPr="009522CA" w:rsidRDefault="009E75B4" w:rsidP="00A95681">
            <w:pPr>
              <w:widowControl w:val="0"/>
              <w:ind w:right="90"/>
              <w:jc w:val="both"/>
              <w:rPr>
                <w:i/>
                <w:noProof/>
                <w:sz w:val="20"/>
                <w:szCs w:val="20"/>
              </w:rPr>
            </w:pPr>
            <w:r w:rsidRPr="009522CA">
              <w:rPr>
                <w:i/>
                <w:noProof/>
                <w:sz w:val="20"/>
                <w:szCs w:val="20"/>
              </w:rPr>
              <w:t>The items icluded in the food basket  partially differ before and after August 2013, but the caloric contribution to the DEC is quasi-constant (52% till August 2013, 50% fro</w:t>
            </w:r>
            <w:r w:rsidR="00A95681" w:rsidRPr="009522CA">
              <w:rPr>
                <w:i/>
                <w:noProof/>
                <w:sz w:val="20"/>
                <w:szCs w:val="20"/>
              </w:rPr>
              <w:t>m September 2013).</w:t>
            </w:r>
          </w:p>
          <w:p w14:paraId="40A7005A" w14:textId="682320F4" w:rsidR="00A95681" w:rsidRPr="009522CA" w:rsidRDefault="00A95681" w:rsidP="00A95681">
            <w:pPr>
              <w:widowControl w:val="0"/>
              <w:ind w:right="90"/>
              <w:jc w:val="both"/>
              <w:rPr>
                <w:i/>
                <w:noProof/>
                <w:sz w:val="20"/>
                <w:szCs w:val="20"/>
              </w:rPr>
            </w:pPr>
            <w:r w:rsidRPr="009522CA">
              <w:rPr>
                <w:i/>
                <w:noProof/>
                <w:sz w:val="20"/>
                <w:szCs w:val="20"/>
              </w:rPr>
              <w:t xml:space="preserve">Till August 2013, palm oil, maize, beef and peanut were not included in the  basket as rice, yam and cassava were enough to provide 50% of DEC, and yam was prefered as its </w:t>
            </w:r>
            <w:r w:rsidR="009A4ABA">
              <w:rPr>
                <w:i/>
                <w:noProof/>
                <w:sz w:val="20"/>
                <w:szCs w:val="20"/>
              </w:rPr>
              <w:t>caloric contribution</w:t>
            </w:r>
            <w:r w:rsidRPr="009522CA">
              <w:rPr>
                <w:i/>
                <w:noProof/>
                <w:sz w:val="20"/>
                <w:szCs w:val="20"/>
              </w:rPr>
              <w:t xml:space="preserve"> was higher. </w:t>
            </w:r>
          </w:p>
          <w:p w14:paraId="0E004B37" w14:textId="26B42B26" w:rsidR="00A95681" w:rsidRPr="00900DC4" w:rsidRDefault="00A95681" w:rsidP="00A95681">
            <w:pPr>
              <w:widowControl w:val="0"/>
              <w:ind w:right="90"/>
              <w:jc w:val="both"/>
              <w:rPr>
                <w:noProof/>
              </w:rPr>
            </w:pPr>
            <w:r w:rsidRPr="009522CA">
              <w:rPr>
                <w:i/>
                <w:noProof/>
                <w:sz w:val="20"/>
                <w:szCs w:val="20"/>
              </w:rPr>
              <w:t>Due to the unavailability of price</w:t>
            </w:r>
            <w:r w:rsidR="009A4ABA">
              <w:rPr>
                <w:i/>
                <w:noProof/>
                <w:sz w:val="20"/>
                <w:szCs w:val="20"/>
              </w:rPr>
              <w:t>s</w:t>
            </w:r>
            <w:r w:rsidRPr="009522CA">
              <w:rPr>
                <w:i/>
                <w:noProof/>
                <w:sz w:val="20"/>
                <w:szCs w:val="20"/>
              </w:rPr>
              <w:t xml:space="preserve"> for yam after August 2013, palm oil, maize, beef and peanut were included in the basket.</w:t>
            </w:r>
          </w:p>
        </w:tc>
      </w:tr>
      <w:tr w:rsidR="009E75B4" w14:paraId="605C8EC3" w14:textId="3C524523" w:rsidTr="00A95681">
        <w:tc>
          <w:tcPr>
            <w:tcW w:w="6036" w:type="dxa"/>
          </w:tcPr>
          <w:p w14:paraId="5B9E3B7A" w14:textId="7087AD58" w:rsidR="009E75B4" w:rsidRDefault="003C2295" w:rsidP="003E583E">
            <w:pPr>
              <w:widowControl w:val="0"/>
              <w:jc w:val="both"/>
            </w:pPr>
            <w:r w:rsidRPr="003C2295">
              <w:rPr>
                <w:noProof/>
              </w:rPr>
              <w:drawing>
                <wp:inline distT="0" distB="0" distL="0" distR="0" wp14:anchorId="20120294" wp14:editId="556AAC8B">
                  <wp:extent cx="3749040" cy="1686729"/>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8015" t="2804" r="7196" b="13805"/>
                          <a:stretch/>
                        </pic:blipFill>
                        <pic:spPr bwMode="auto">
                          <a:xfrm>
                            <a:off x="0" y="0"/>
                            <a:ext cx="3749040" cy="168672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19" w:type="dxa"/>
            <w:vMerge/>
          </w:tcPr>
          <w:p w14:paraId="3B33267C" w14:textId="77777777" w:rsidR="009E75B4" w:rsidRPr="007D6586" w:rsidRDefault="009E75B4" w:rsidP="003E583E">
            <w:pPr>
              <w:widowControl w:val="0"/>
              <w:jc w:val="both"/>
              <w:rPr>
                <w:noProof/>
              </w:rPr>
            </w:pPr>
          </w:p>
        </w:tc>
      </w:tr>
    </w:tbl>
    <w:p w14:paraId="12D19635" w14:textId="77777777" w:rsidR="001E6676" w:rsidRDefault="001E6676" w:rsidP="008E51B9">
      <w:pPr>
        <w:pStyle w:val="Caption"/>
        <w:rPr>
          <w:i w:val="0"/>
          <w:iCs w:val="0"/>
          <w:color w:val="auto"/>
          <w:sz w:val="22"/>
          <w:szCs w:val="22"/>
        </w:rPr>
      </w:pPr>
      <w:bookmarkStart w:id="4" w:name="_Ref459818586"/>
    </w:p>
    <w:p w14:paraId="5A5F6629" w14:textId="4AF06591" w:rsidR="00C04F05" w:rsidRPr="00C04F05" w:rsidRDefault="009E75B4" w:rsidP="009D6C95">
      <w:pPr>
        <w:pStyle w:val="Caption"/>
        <w:spacing w:after="0"/>
      </w:pPr>
      <w:r>
        <w:t xml:space="preserve">Figure </w:t>
      </w:r>
      <w:r w:rsidR="004D0C3D">
        <w:fldChar w:fldCharType="begin"/>
      </w:r>
      <w:r w:rsidR="004D0C3D">
        <w:instrText xml:space="preserve"> SEQ Figure \* ARABIC </w:instrText>
      </w:r>
      <w:r w:rsidR="004D0C3D">
        <w:fldChar w:fldCharType="separate"/>
      </w:r>
      <w:r w:rsidR="005C0FDA">
        <w:rPr>
          <w:noProof/>
        </w:rPr>
        <w:t>2</w:t>
      </w:r>
      <w:r w:rsidR="004D0C3D">
        <w:rPr>
          <w:noProof/>
        </w:rPr>
        <w:fldChar w:fldCharType="end"/>
      </w:r>
      <w:bookmarkEnd w:id="4"/>
      <w:r>
        <w:t xml:space="preserve"> </w:t>
      </w:r>
      <w:r w:rsidR="004E3599">
        <w:t xml:space="preserve">- </w:t>
      </w:r>
      <w:r>
        <w:t>Food basket in Djibouti</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079"/>
        <w:gridCol w:w="3271"/>
      </w:tblGrid>
      <w:tr w:rsidR="00DC1763" w14:paraId="38E69CD0" w14:textId="5F372FB1" w:rsidTr="008540A1">
        <w:tc>
          <w:tcPr>
            <w:tcW w:w="6079" w:type="dxa"/>
          </w:tcPr>
          <w:p w14:paraId="56A9531E" w14:textId="728EF85D" w:rsidR="00DC1763" w:rsidRDefault="003B1276" w:rsidP="003E583E">
            <w:pPr>
              <w:widowControl w:val="0"/>
              <w:jc w:val="both"/>
            </w:pPr>
            <w:r w:rsidRPr="003B1276">
              <w:rPr>
                <w:noProof/>
              </w:rPr>
              <w:drawing>
                <wp:inline distT="0" distB="0" distL="0" distR="0" wp14:anchorId="71DB001E" wp14:editId="16350D3C">
                  <wp:extent cx="3590088" cy="1737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9778" t="10593" r="6081" b="7850"/>
                          <a:stretch/>
                        </pic:blipFill>
                        <pic:spPr bwMode="auto">
                          <a:xfrm>
                            <a:off x="0" y="0"/>
                            <a:ext cx="3590088" cy="17373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71" w:type="dxa"/>
            <w:vMerge w:val="restart"/>
          </w:tcPr>
          <w:p w14:paraId="623DF6C1" w14:textId="77777777" w:rsidR="00F12FB8" w:rsidRDefault="00F12FB8" w:rsidP="00DC1763">
            <w:pPr>
              <w:widowControl w:val="0"/>
              <w:ind w:right="90"/>
              <w:jc w:val="both"/>
              <w:rPr>
                <w:noProof/>
                <w:sz w:val="20"/>
                <w:szCs w:val="20"/>
              </w:rPr>
            </w:pPr>
          </w:p>
          <w:p w14:paraId="03480158" w14:textId="0B0B957A" w:rsidR="00DC1763" w:rsidRPr="009522CA" w:rsidRDefault="00DC1763" w:rsidP="00DC1763">
            <w:pPr>
              <w:widowControl w:val="0"/>
              <w:ind w:right="90"/>
              <w:jc w:val="both"/>
              <w:rPr>
                <w:i/>
                <w:noProof/>
                <w:sz w:val="20"/>
                <w:szCs w:val="20"/>
              </w:rPr>
            </w:pPr>
            <w:r w:rsidRPr="009522CA">
              <w:rPr>
                <w:i/>
                <w:noProof/>
                <w:sz w:val="20"/>
                <w:szCs w:val="20"/>
              </w:rPr>
              <w:t>The items icluded in the food basket  differ before and after March 2015, but the caloric contribution to the DEC is constant (51%) and the food groups rappresented in the basket are the same (wheat and rice).</w:t>
            </w:r>
          </w:p>
          <w:p w14:paraId="7C684084" w14:textId="1C4F37C1" w:rsidR="00DC1763" w:rsidRPr="00DC1763" w:rsidRDefault="00BC5C1D" w:rsidP="00DC1763">
            <w:pPr>
              <w:widowControl w:val="0"/>
              <w:ind w:right="90"/>
              <w:jc w:val="both"/>
              <w:rPr>
                <w:noProof/>
                <w:sz w:val="20"/>
                <w:szCs w:val="20"/>
              </w:rPr>
            </w:pPr>
            <w:r w:rsidRPr="009522CA">
              <w:rPr>
                <w:i/>
                <w:noProof/>
                <w:sz w:val="20"/>
                <w:szCs w:val="20"/>
              </w:rPr>
              <w:t xml:space="preserve">For the food group ‘wheat’, ‘wheat flour – wholesale’ was selected because the longest series within the food group. When the series </w:t>
            </w:r>
            <w:r w:rsidRPr="009522CA">
              <w:rPr>
                <w:i/>
                <w:noProof/>
                <w:sz w:val="20"/>
                <w:szCs w:val="20"/>
              </w:rPr>
              <w:lastRenderedPageBreak/>
              <w:t xml:space="preserve">interupted, in March 2015, the </w:t>
            </w:r>
            <w:r w:rsidR="003F61BF">
              <w:rPr>
                <w:i/>
                <w:noProof/>
                <w:sz w:val="20"/>
                <w:szCs w:val="20"/>
              </w:rPr>
              <w:t>product</w:t>
            </w:r>
            <w:r w:rsidRPr="009522CA">
              <w:rPr>
                <w:i/>
                <w:noProof/>
                <w:sz w:val="20"/>
                <w:szCs w:val="20"/>
              </w:rPr>
              <w:t xml:space="preserve"> was substituted by another item from the same food group. ‘Bread’ was preffered to ‘pasta’ because a cheaper item.</w:t>
            </w:r>
            <w:r w:rsidR="00CA6F08" w:rsidRPr="009522CA">
              <w:rPr>
                <w:i/>
                <w:noProof/>
                <w:sz w:val="20"/>
                <w:szCs w:val="20"/>
              </w:rPr>
              <w:t xml:space="preserve"> Similar for the rice: ‘rice (belem)’ was the cheapest series.</w:t>
            </w:r>
          </w:p>
          <w:p w14:paraId="632D8353" w14:textId="72848DB9" w:rsidR="00DC1763" w:rsidRPr="00F62C04" w:rsidRDefault="00DC1763" w:rsidP="00DC1763">
            <w:pPr>
              <w:widowControl w:val="0"/>
              <w:jc w:val="both"/>
              <w:rPr>
                <w:noProof/>
              </w:rPr>
            </w:pPr>
          </w:p>
        </w:tc>
      </w:tr>
      <w:tr w:rsidR="00DC1763" w14:paraId="544B5724" w14:textId="6413E1D0" w:rsidTr="008540A1">
        <w:trPr>
          <w:trHeight w:val="1755"/>
        </w:trPr>
        <w:tc>
          <w:tcPr>
            <w:tcW w:w="6079" w:type="dxa"/>
          </w:tcPr>
          <w:p w14:paraId="021AAC29" w14:textId="711741B4" w:rsidR="00DC1763" w:rsidRDefault="00DC1763" w:rsidP="003E583E">
            <w:pPr>
              <w:widowControl w:val="0"/>
              <w:jc w:val="both"/>
            </w:pPr>
            <w:r w:rsidRPr="007D6586">
              <w:rPr>
                <w:noProof/>
              </w:rPr>
              <w:lastRenderedPageBreak/>
              <w:drawing>
                <wp:inline distT="0" distB="0" distL="0" distR="0" wp14:anchorId="244078EC" wp14:editId="1A7CC736">
                  <wp:extent cx="3609975" cy="1052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45666" r="3601" b="45340"/>
                          <a:stretch/>
                        </pic:blipFill>
                        <pic:spPr bwMode="auto">
                          <a:xfrm>
                            <a:off x="0" y="0"/>
                            <a:ext cx="3709583" cy="108193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71" w:type="dxa"/>
            <w:vMerge/>
          </w:tcPr>
          <w:p w14:paraId="69CAE085" w14:textId="77777777" w:rsidR="00DC1763" w:rsidRPr="007D6586" w:rsidRDefault="00DC1763" w:rsidP="003E583E">
            <w:pPr>
              <w:widowControl w:val="0"/>
              <w:jc w:val="both"/>
              <w:rPr>
                <w:noProof/>
              </w:rPr>
            </w:pPr>
          </w:p>
        </w:tc>
      </w:tr>
    </w:tbl>
    <w:p w14:paraId="5FBFD7C2" w14:textId="66DBDC41" w:rsidR="007D6586" w:rsidRPr="00067651" w:rsidRDefault="00BA6BDC" w:rsidP="003E583E">
      <w:pPr>
        <w:widowControl w:val="0"/>
        <w:jc w:val="both"/>
      </w:pPr>
      <w:r w:rsidRPr="005951FD">
        <w:t xml:space="preserve">The composition of </w:t>
      </w:r>
      <w:r>
        <w:t>each country’s</w:t>
      </w:r>
      <w:r w:rsidRPr="005951FD">
        <w:t xml:space="preserve"> food basket, </w:t>
      </w:r>
      <w:r>
        <w:t>along with its</w:t>
      </w:r>
      <w:r w:rsidRPr="005951FD">
        <w:t xml:space="preserve"> average, minimum and max</w:t>
      </w:r>
      <w:r w:rsidR="001C0EF9">
        <w:t xml:space="preserve">imum caloric </w:t>
      </w:r>
      <w:r w:rsidR="001C0EF9" w:rsidRPr="00067651">
        <w:t>contribution to DER</w:t>
      </w:r>
      <w:r w:rsidRPr="00067651">
        <w:t xml:space="preserve">, and the </w:t>
      </w:r>
      <w:r w:rsidR="001C0EF9" w:rsidRPr="00067651">
        <w:t>caloric</w:t>
      </w:r>
      <w:r w:rsidRPr="00067651">
        <w:t xml:space="preserve"> </w:t>
      </w:r>
      <w:r w:rsidR="001C0EF9" w:rsidRPr="00067651">
        <w:t>contribution</w:t>
      </w:r>
      <w:r w:rsidRPr="00067651">
        <w:t xml:space="preserve"> of each it</w:t>
      </w:r>
      <w:r w:rsidR="006E0223" w:rsidRPr="00067651">
        <w:t xml:space="preserve">em in the basket are reported </w:t>
      </w:r>
      <w:r w:rsidR="004F5A9C">
        <w:t>as A</w:t>
      </w:r>
      <w:r w:rsidR="006F3843">
        <w:t>nnex</w:t>
      </w:r>
      <w:r w:rsidR="004F5A9C">
        <w:t xml:space="preserve"> I</w:t>
      </w:r>
      <w:r w:rsidR="006F3843">
        <w:t xml:space="preserve"> in a separated </w:t>
      </w:r>
      <w:r w:rsidR="00393C96">
        <w:t xml:space="preserve">excel </w:t>
      </w:r>
      <w:r w:rsidR="006F3843">
        <w:t>file</w:t>
      </w:r>
      <w:r w:rsidR="006E0223" w:rsidRPr="00067651">
        <w:t>.</w:t>
      </w:r>
      <w:r w:rsidR="008540A1" w:rsidRPr="00067651">
        <w:t xml:space="preserve"> </w:t>
      </w:r>
    </w:p>
    <w:p w14:paraId="67D77099" w14:textId="40EE6618" w:rsidR="0014756C" w:rsidRDefault="0080483D" w:rsidP="003E583E">
      <w:pPr>
        <w:widowControl w:val="0"/>
        <w:jc w:val="both"/>
      </w:pPr>
      <w:r>
        <w:t>T</w:t>
      </w:r>
      <w:r w:rsidR="00EB6016">
        <w:t>he</w:t>
      </w:r>
      <w:r w:rsidR="002F6309">
        <w:t xml:space="preserve"> procedure for</w:t>
      </w:r>
      <w:r w:rsidR="00EB6016">
        <w:t xml:space="preserve"> calculation </w:t>
      </w:r>
      <w:r w:rsidR="00B575E7">
        <w:t xml:space="preserve">of the </w:t>
      </w:r>
      <w:r w:rsidR="00B575E7" w:rsidRPr="00C94FD8">
        <w:rPr>
          <w:b/>
          <w:u w:val="single"/>
        </w:rPr>
        <w:t>cost of the food basket</w:t>
      </w:r>
      <w:r>
        <w:t xml:space="preserve"> </w:t>
      </w:r>
      <w:r w:rsidR="002F6309">
        <w:t xml:space="preserve">assumes that: (i) the </w:t>
      </w:r>
      <w:r w:rsidR="00C94FD8">
        <w:t xml:space="preserve">caloric </w:t>
      </w:r>
      <w:r w:rsidR="00882FA6">
        <w:t>content</w:t>
      </w:r>
      <w:r w:rsidR="002F6309">
        <w:t xml:space="preserve"> of </w:t>
      </w:r>
      <w:r w:rsidR="002F6309" w:rsidRPr="00C94FD8">
        <w:t>the</w:t>
      </w:r>
      <w:r w:rsidR="00C94FD8" w:rsidRPr="00C94FD8">
        <w:t xml:space="preserve"> food</w:t>
      </w:r>
      <w:r w:rsidR="002F6309" w:rsidRPr="00C94FD8">
        <w:t xml:space="preserve"> basket is time-invariant, (ii) the per capita daily caloric </w:t>
      </w:r>
      <w:r w:rsidR="000B38CF">
        <w:t>requirement</w:t>
      </w:r>
      <w:r w:rsidR="002F6309" w:rsidRPr="00C94FD8">
        <w:t xml:space="preserve"> is equal to 2,100 Kcal for each</w:t>
      </w:r>
      <w:r w:rsidR="002F6309" w:rsidRPr="002F6309">
        <w:t xml:space="preserve"> country</w:t>
      </w:r>
      <w:r w:rsidR="002F6309">
        <w:t xml:space="preserve">, </w:t>
      </w:r>
      <w:r w:rsidR="009D475F">
        <w:t xml:space="preserve">and </w:t>
      </w:r>
      <w:r w:rsidR="002F6309">
        <w:t xml:space="preserve">(iii) the energy density of each </w:t>
      </w:r>
      <w:r w:rsidR="00EC7F53">
        <w:t xml:space="preserve">food </w:t>
      </w:r>
      <w:r w:rsidR="002F6309">
        <w:t>item is time- and space-invariant</w:t>
      </w:r>
      <w:r w:rsidR="002F6309" w:rsidRPr="002F6309">
        <w:t xml:space="preserve">. </w:t>
      </w:r>
      <w:r w:rsidR="002F6309">
        <w:t>Based on these assumptions, the cost of the basket is computed in</w:t>
      </w:r>
      <w:r w:rsidR="00C03648">
        <w:t xml:space="preserve"> four</w:t>
      </w:r>
      <w:r>
        <w:t xml:space="preserve"> </w:t>
      </w:r>
      <w:r w:rsidR="0014756C">
        <w:t>simple step</w:t>
      </w:r>
      <w:r w:rsidR="00F87E9A">
        <w:t>s</w:t>
      </w:r>
      <w:r>
        <w:t xml:space="preserve">: </w:t>
      </w:r>
    </w:p>
    <w:p w14:paraId="0D0748BD" w14:textId="38E5A455" w:rsidR="00A840EC" w:rsidRDefault="002B07D5" w:rsidP="00A840EC">
      <w:pPr>
        <w:pStyle w:val="ListParagraph"/>
        <w:widowControl w:val="0"/>
        <w:numPr>
          <w:ilvl w:val="0"/>
          <w:numId w:val="10"/>
        </w:numPr>
        <w:jc w:val="both"/>
      </w:pPr>
      <w:r>
        <w:t>compute</w:t>
      </w:r>
      <w:r w:rsidR="00A840EC">
        <w:t xml:space="preserve"> the per capita daily caloric intake deriving from the consumption of each item</w:t>
      </w:r>
      <w:r w:rsidR="002F6309">
        <w:t xml:space="preserve"> in the food basket:</w:t>
      </w:r>
    </w:p>
    <w:p w14:paraId="683EFD10" w14:textId="69BEC970" w:rsidR="00A840EC" w:rsidRDefault="004D0C3D" w:rsidP="00A840EC">
      <w:pPr>
        <w:pStyle w:val="ListParagraph"/>
        <w:widowControl w:val="0"/>
        <w:jc w:val="both"/>
      </w:pPr>
      <m:oMathPara>
        <m:oMath>
          <m:sSub>
            <m:sSubPr>
              <m:ctrlPr>
                <w:rPr>
                  <w:rFonts w:ascii="Cambria Math" w:hAnsi="Cambria Math"/>
                  <w:i/>
                </w:rPr>
              </m:ctrlPr>
            </m:sSubPr>
            <m:e>
              <m:r>
                <w:rPr>
                  <w:rFonts w:ascii="Cambria Math" w:hAnsi="Cambria Math"/>
                </w:rPr>
                <m:t>kcal</m:t>
              </m:r>
            </m:e>
            <m:sub>
              <m:r>
                <w:rPr>
                  <w:rFonts w:ascii="Cambria Math" w:hAnsi="Cambria Math"/>
                </w:rPr>
                <m:t>ic</m:t>
              </m:r>
            </m:sub>
          </m:sSub>
          <m:r>
            <w:rPr>
              <w:rFonts w:ascii="Cambria Math" w:hAnsi="Cambria Math"/>
            </w:rPr>
            <m:t>=t_kcal*</m:t>
          </m:r>
          <m:sSub>
            <m:sSubPr>
              <m:ctrlPr>
                <w:rPr>
                  <w:rFonts w:ascii="Cambria Math" w:hAnsi="Cambria Math"/>
                  <w:i/>
                </w:rPr>
              </m:ctrlPr>
            </m:sSubPr>
            <m:e>
              <m:r>
                <w:rPr>
                  <w:rFonts w:ascii="Cambria Math" w:hAnsi="Cambria Math"/>
                </w:rPr>
                <m:t>s_kcal</m:t>
              </m:r>
            </m:e>
            <m:sub>
              <m:r>
                <w:rPr>
                  <w:rFonts w:ascii="Cambria Math" w:hAnsi="Cambria Math"/>
                </w:rPr>
                <m:t>ic</m:t>
              </m:r>
            </m:sub>
          </m:sSub>
        </m:oMath>
      </m:oMathPara>
    </w:p>
    <w:p w14:paraId="48DE595E" w14:textId="0ADE9E64" w:rsidR="00C67199" w:rsidRDefault="0073065F" w:rsidP="00070D04">
      <w:pPr>
        <w:pStyle w:val="ListParagraph"/>
        <w:widowControl w:val="0"/>
        <w:numPr>
          <w:ilvl w:val="0"/>
          <w:numId w:val="10"/>
        </w:numPr>
        <w:spacing w:before="240"/>
        <w:jc w:val="both"/>
      </w:pPr>
      <w:r>
        <w:t>derive the per capita daily quantity consumed of each item</w:t>
      </w:r>
      <w:r w:rsidR="002F6309">
        <w:t xml:space="preserve"> in the food basket:</w:t>
      </w:r>
    </w:p>
    <w:p w14:paraId="74CA82D8" w14:textId="30A93190" w:rsidR="0073065F" w:rsidRDefault="004D0C3D" w:rsidP="0073065F">
      <w:pPr>
        <w:pStyle w:val="ListParagraph"/>
        <w:widowControl w:val="0"/>
        <w:jc w:val="both"/>
      </w:pPr>
      <m:oMathPara>
        <m:oMath>
          <m:sSub>
            <m:sSubPr>
              <m:ctrlPr>
                <w:rPr>
                  <w:rFonts w:ascii="Cambria Math" w:hAnsi="Cambria Math"/>
                  <w:i/>
                </w:rPr>
              </m:ctrlPr>
            </m:sSubPr>
            <m:e>
              <m:r>
                <w:rPr>
                  <w:rFonts w:ascii="Cambria Math" w:hAnsi="Cambria Math"/>
                </w:rPr>
                <m:t>qt</m:t>
              </m:r>
            </m:e>
            <m:sub>
              <m:r>
                <w:rPr>
                  <w:rFonts w:ascii="Cambria Math" w:hAnsi="Cambria Math"/>
                </w:rPr>
                <m:t>ic</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kcal</m:t>
                  </m:r>
                </m:e>
                <m:sub>
                  <m:r>
                    <w:rPr>
                      <w:rFonts w:ascii="Cambria Math" w:hAnsi="Cambria Math"/>
                    </w:rPr>
                    <m:t>ic</m:t>
                  </m:r>
                </m:sub>
              </m:sSub>
            </m:num>
            <m:den>
              <m:sSub>
                <m:sSubPr>
                  <m:ctrlPr>
                    <w:rPr>
                      <w:rFonts w:ascii="Cambria Math" w:hAnsi="Cambria Math"/>
                      <w:i/>
                    </w:rPr>
                  </m:ctrlPr>
                </m:sSubPr>
                <m:e>
                  <m:r>
                    <w:rPr>
                      <w:rFonts w:ascii="Cambria Math" w:hAnsi="Cambria Math"/>
                    </w:rPr>
                    <m:t>d</m:t>
                  </m:r>
                </m:e>
                <m:sub>
                  <m:r>
                    <w:rPr>
                      <w:rFonts w:ascii="Cambria Math" w:hAnsi="Cambria Math"/>
                    </w:rPr>
                    <m:t>i</m:t>
                  </m:r>
                </m:sub>
              </m:sSub>
            </m:den>
          </m:f>
        </m:oMath>
      </m:oMathPara>
    </w:p>
    <w:p w14:paraId="02186B30" w14:textId="4EA34371" w:rsidR="00070D04" w:rsidRDefault="00570D7B" w:rsidP="00070D04">
      <w:pPr>
        <w:pStyle w:val="ListParagraph"/>
        <w:widowControl w:val="0"/>
        <w:numPr>
          <w:ilvl w:val="0"/>
          <w:numId w:val="10"/>
        </w:numPr>
        <w:jc w:val="both"/>
      </w:pPr>
      <w:r>
        <w:t>compute t</w:t>
      </w:r>
      <w:r w:rsidR="00070D04">
        <w:t xml:space="preserve">he </w:t>
      </w:r>
      <w:r w:rsidR="004F47E5">
        <w:t>daily</w:t>
      </w:r>
      <w:r w:rsidR="00257C24">
        <w:t xml:space="preserve"> </w:t>
      </w:r>
      <w:r w:rsidR="00070D04">
        <w:t>cost of the quantity consumed</w:t>
      </w:r>
      <w:r w:rsidR="002F6309">
        <w:t>:</w:t>
      </w:r>
    </w:p>
    <w:p w14:paraId="485FEBCE" w14:textId="6F0AA5DD" w:rsidR="00070D04" w:rsidRPr="00070D04" w:rsidRDefault="004D0C3D" w:rsidP="00070D04">
      <w:pPr>
        <w:pStyle w:val="ListParagraph"/>
        <w:widowControl w:val="0"/>
        <w:jc w:val="both"/>
        <w:rPr>
          <w:rFonts w:ascii="Cambria Math" w:hAnsi="Cambria Math"/>
          <w:i/>
        </w:rPr>
      </w:pPr>
      <m:oMathPara>
        <m:oMath>
          <m:sSub>
            <m:sSubPr>
              <m:ctrlPr>
                <w:rPr>
                  <w:rFonts w:ascii="Cambria Math" w:hAnsi="Cambria Math"/>
                  <w:i/>
                </w:rPr>
              </m:ctrlPr>
            </m:sSubPr>
            <m:e>
              <m:r>
                <w:rPr>
                  <w:rFonts w:ascii="Cambria Math" w:hAnsi="Cambria Math"/>
                </w:rPr>
                <m:t>exp</m:t>
              </m:r>
            </m:e>
            <m:sub>
              <m:r>
                <w:rPr>
                  <w:rFonts w:ascii="Cambria Math" w:hAnsi="Cambria Math"/>
                </w:rPr>
                <m:t>ict</m:t>
              </m:r>
            </m:sub>
          </m:sSub>
          <m:r>
            <w:rPr>
              <w:rFonts w:ascii="Cambria Math" w:hAnsi="Cambria Math"/>
            </w:rPr>
            <m:t>=</m:t>
          </m:r>
          <m:sSub>
            <m:sSubPr>
              <m:ctrlPr>
                <w:rPr>
                  <w:rFonts w:ascii="Cambria Math" w:hAnsi="Cambria Math"/>
                  <w:i/>
                </w:rPr>
              </m:ctrlPr>
            </m:sSubPr>
            <m:e>
              <m:r>
                <w:rPr>
                  <w:rFonts w:ascii="Cambria Math" w:hAnsi="Cambria Math"/>
                </w:rPr>
                <m:t>qt</m:t>
              </m:r>
            </m:e>
            <m:sub>
              <m:r>
                <w:rPr>
                  <w:rFonts w:ascii="Cambria Math" w:hAnsi="Cambria Math"/>
                </w:rPr>
                <m:t>ic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ict</m:t>
              </m:r>
            </m:sub>
          </m:sSub>
        </m:oMath>
      </m:oMathPara>
    </w:p>
    <w:p w14:paraId="578D034C" w14:textId="63FC2EE3" w:rsidR="00E4089F" w:rsidRPr="00E4089F" w:rsidRDefault="00E4089F" w:rsidP="00E4089F">
      <w:pPr>
        <w:pStyle w:val="ListParagraph"/>
        <w:widowControl w:val="0"/>
        <w:numPr>
          <w:ilvl w:val="0"/>
          <w:numId w:val="10"/>
        </w:numPr>
        <w:jc w:val="both"/>
        <w:rPr>
          <w:rFonts w:ascii="Cambria Math" w:hAnsi="Cambria Math"/>
        </w:rPr>
      </w:pPr>
      <w:r w:rsidRPr="00E4089F">
        <w:rPr>
          <w:rFonts w:ascii="Cambria Math" w:hAnsi="Cambria Math"/>
        </w:rPr>
        <w:t>obtain the t</w:t>
      </w:r>
      <w:r>
        <w:rPr>
          <w:rFonts w:ascii="Cambria Math" w:hAnsi="Cambria Math"/>
        </w:rPr>
        <w:t>o</w:t>
      </w:r>
      <w:r w:rsidRPr="00E4089F">
        <w:rPr>
          <w:rFonts w:ascii="Cambria Math" w:hAnsi="Cambria Math"/>
        </w:rPr>
        <w:t xml:space="preserve">tal </w:t>
      </w:r>
      <w:r w:rsidR="004F47E5">
        <w:rPr>
          <w:rFonts w:ascii="Cambria Math" w:hAnsi="Cambria Math"/>
        </w:rPr>
        <w:t xml:space="preserve">monthly </w:t>
      </w:r>
      <w:r w:rsidRPr="00E4089F">
        <w:rPr>
          <w:rFonts w:ascii="Cambria Math" w:hAnsi="Cambria Math"/>
        </w:rPr>
        <w:t>cost of the food basket across time</w:t>
      </w:r>
      <w:r w:rsidR="002F6309">
        <w:rPr>
          <w:rFonts w:ascii="Cambria Math" w:hAnsi="Cambria Math"/>
        </w:rPr>
        <w:t>:</w:t>
      </w:r>
    </w:p>
    <w:p w14:paraId="45799FEA" w14:textId="77CEF39B" w:rsidR="00C67199" w:rsidRDefault="004D0C3D" w:rsidP="0014756C">
      <w:pPr>
        <w:pStyle w:val="ListParagraph"/>
        <w:widowControl w:val="0"/>
        <w:jc w:val="center"/>
        <w:rPr>
          <w:rFonts w:eastAsiaTheme="minorEastAsia"/>
        </w:rPr>
      </w:pPr>
      <m:oMath>
        <m:sSub>
          <m:sSubPr>
            <m:ctrlPr>
              <w:rPr>
                <w:rFonts w:ascii="Cambria Math" w:hAnsi="Cambria Math"/>
                <w:i/>
              </w:rPr>
            </m:ctrlPr>
          </m:sSubPr>
          <m:e>
            <m:r>
              <w:rPr>
                <w:rFonts w:ascii="Cambria Math" w:hAnsi="Cambria Math"/>
              </w:rPr>
              <m:t>fb</m:t>
            </m:r>
          </m:e>
          <m:sub>
            <m:r>
              <w:rPr>
                <w:rFonts w:ascii="Cambria Math" w:hAnsi="Cambria Math"/>
              </w:rPr>
              <m:t>ct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exp</m:t>
                </m:r>
              </m:e>
              <m:sub>
                <m:r>
                  <w:rPr>
                    <w:rFonts w:ascii="Cambria Math" w:hAnsi="Cambria Math"/>
                  </w:rPr>
                  <m:t>it</m:t>
                </m:r>
              </m:sub>
            </m:sSub>
          </m:e>
        </m:nary>
        <m:r>
          <w:rPr>
            <w:rFonts w:ascii="Cambria Math" w:eastAsiaTheme="minorEastAsia" w:hAnsi="Cambria Math"/>
          </w:rPr>
          <m:t>*30.5</m:t>
        </m:r>
      </m:oMath>
      <w:r w:rsidR="0014756C">
        <w:rPr>
          <w:rFonts w:eastAsiaTheme="minorEastAsia"/>
        </w:rPr>
        <w:t xml:space="preserve">     ,</w:t>
      </w:r>
    </w:p>
    <w:p w14:paraId="2B5F0CB3" w14:textId="26F62DE7" w:rsidR="0014756C" w:rsidRDefault="0014756C" w:rsidP="00967F53">
      <w:pPr>
        <w:widowControl w:val="0"/>
        <w:ind w:left="720" w:right="990"/>
        <w:jc w:val="both"/>
        <w:rPr>
          <w:i/>
        </w:rPr>
      </w:pPr>
      <w:r w:rsidRPr="00C16351">
        <w:rPr>
          <w:i/>
        </w:rPr>
        <w:t>where</w:t>
      </w:r>
      <w:r>
        <w:t xml:space="preserve"> </w:t>
      </w:r>
      <m:oMath>
        <m:r>
          <w:rPr>
            <w:rFonts w:ascii="Cambria Math" w:hAnsi="Cambria Math"/>
          </w:rPr>
          <m:t>t_kcal</m:t>
        </m:r>
      </m:oMath>
      <w:r w:rsidRPr="00C16351">
        <w:rPr>
          <w:rFonts w:eastAsiaTheme="minorEastAsia"/>
        </w:rPr>
        <w:t xml:space="preserve"> is the </w:t>
      </w:r>
      <w:r>
        <w:t xml:space="preserve">per capita daily </w:t>
      </w:r>
      <w:r w:rsidR="00392E58">
        <w:t>DER</w:t>
      </w:r>
      <w:r>
        <w:t xml:space="preserve">, </w:t>
      </w:r>
      <m:oMath>
        <m:sSub>
          <m:sSubPr>
            <m:ctrlPr>
              <w:rPr>
                <w:rFonts w:ascii="Cambria Math" w:hAnsi="Cambria Math"/>
                <w:i/>
              </w:rPr>
            </m:ctrlPr>
          </m:sSubPr>
          <m:e>
            <m:r>
              <w:rPr>
                <w:rFonts w:ascii="Cambria Math" w:hAnsi="Cambria Math"/>
              </w:rPr>
              <m:t>s_kcal</m:t>
            </m:r>
          </m:e>
          <m:sub>
            <m:r>
              <w:rPr>
                <w:rFonts w:ascii="Cambria Math" w:hAnsi="Cambria Math"/>
              </w:rPr>
              <m:t>ic</m:t>
            </m:r>
          </m:sub>
        </m:sSub>
      </m:oMath>
      <w:r w:rsidRPr="00C16351">
        <w:rPr>
          <w:rFonts w:eastAsiaTheme="minorEastAsia"/>
        </w:rPr>
        <w:t xml:space="preserve"> is the </w:t>
      </w:r>
      <w:r>
        <w:t xml:space="preserve">percentage caloric contribution of each item </w:t>
      </w:r>
      <w:r w:rsidRPr="00C16351">
        <w:rPr>
          <w:i/>
        </w:rPr>
        <w:t>i</w:t>
      </w:r>
      <w:r>
        <w:t xml:space="preserve"> to the daily intake in country </w:t>
      </w:r>
      <w:r w:rsidRPr="00C16351">
        <w:rPr>
          <w:i/>
        </w:rPr>
        <w:t>c</w:t>
      </w:r>
      <w:r>
        <w:rPr>
          <w:rStyle w:val="FootnoteReference"/>
        </w:rPr>
        <w:footnoteReference w:id="5"/>
      </w:r>
      <w:r w:rsidRPr="00C16351">
        <w:rPr>
          <w:i/>
        </w:rP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C16351">
        <w:rPr>
          <w:rFonts w:eastAsiaTheme="minorEastAsia"/>
          <w:i/>
        </w:rPr>
        <w:t xml:space="preserve"> </w:t>
      </w:r>
      <w:r>
        <w:t>is the energy content of each food item</w:t>
      </w:r>
      <w:r>
        <w:rPr>
          <w:rStyle w:val="FootnoteReference"/>
        </w:rPr>
        <w:footnoteReference w:id="6"/>
      </w:r>
      <w:r>
        <w:t xml:space="preserve">, and </w:t>
      </w:r>
      <m:oMath>
        <m:sSub>
          <m:sSubPr>
            <m:ctrlPr>
              <w:rPr>
                <w:rFonts w:ascii="Cambria Math" w:hAnsi="Cambria Math"/>
                <w:i/>
              </w:rPr>
            </m:ctrlPr>
          </m:sSubPr>
          <m:e>
            <m:r>
              <w:rPr>
                <w:rFonts w:ascii="Cambria Math" w:hAnsi="Cambria Math"/>
              </w:rPr>
              <m:t>p</m:t>
            </m:r>
          </m:e>
          <m:sub>
            <m:r>
              <w:rPr>
                <w:rFonts w:ascii="Cambria Math" w:hAnsi="Cambria Math"/>
              </w:rPr>
              <m:t>ict</m:t>
            </m:r>
          </m:sub>
        </m:sSub>
      </m:oMath>
      <w:r>
        <w:t xml:space="preserve"> is the price of each food item at time </w:t>
      </w:r>
      <w:r w:rsidRPr="00C16351">
        <w:rPr>
          <w:i/>
        </w:rPr>
        <w:t>t</w:t>
      </w:r>
      <w:r>
        <w:rPr>
          <w:rStyle w:val="FootnoteReference"/>
        </w:rPr>
        <w:footnoteReference w:id="7"/>
      </w:r>
      <w:r w:rsidRPr="00C16351">
        <w:rPr>
          <w:i/>
        </w:rPr>
        <w:t>.</w:t>
      </w:r>
    </w:p>
    <w:p w14:paraId="462F51F4" w14:textId="1EFB62CF" w:rsidR="00F142E3" w:rsidRPr="00EF77BB" w:rsidRDefault="009E01BE" w:rsidP="00F142E3">
      <w:pPr>
        <w:widowControl w:val="0"/>
        <w:jc w:val="both"/>
      </w:pPr>
      <w:r>
        <w:t>The cost of the</w:t>
      </w:r>
      <w:r w:rsidR="00F142E3">
        <w:t xml:space="preserve"> food basket is computed only at the national level. </w:t>
      </w:r>
      <w:r w:rsidR="001F01EC">
        <w:t xml:space="preserve">If </w:t>
      </w:r>
      <w:r w:rsidR="00F142E3">
        <w:t xml:space="preserve">national and market-specific prices are </w:t>
      </w:r>
      <w:r w:rsidR="001F01EC">
        <w:t xml:space="preserve">both </w:t>
      </w:r>
      <w:r w:rsidR="00F142E3">
        <w:t xml:space="preserve">available, the </w:t>
      </w:r>
      <w:r w:rsidR="00F142E3" w:rsidRPr="003D0A60">
        <w:t>national prices are preferred</w:t>
      </w:r>
      <w:r w:rsidR="001F01EC">
        <w:t xml:space="preserve"> unless they</w:t>
      </w:r>
      <w:r w:rsidR="00F142E3">
        <w:t xml:space="preserve"> do not</w:t>
      </w:r>
      <w:r w:rsidR="00F142E3" w:rsidRPr="003D0A60">
        <w:t xml:space="preserve"> meet data requirements</w:t>
      </w:r>
      <w:r w:rsidR="001F01EC">
        <w:t>. If so,</w:t>
      </w:r>
      <w:r w:rsidR="00F142E3">
        <w:t xml:space="preserve"> </w:t>
      </w:r>
      <w:r w:rsidR="00F142E3" w:rsidRPr="003D0A60">
        <w:t>national averages are computed as</w:t>
      </w:r>
      <w:r w:rsidR="00F142E3">
        <w:t xml:space="preserve"> a</w:t>
      </w:r>
      <w:r w:rsidR="00F142E3" w:rsidRPr="003D0A60">
        <w:t xml:space="preserve"> simple average</w:t>
      </w:r>
      <w:r w:rsidR="001F01EC">
        <w:t>s</w:t>
      </w:r>
      <w:r w:rsidR="00F142E3" w:rsidRPr="003D0A60">
        <w:t xml:space="preserve"> </w:t>
      </w:r>
      <w:r w:rsidR="00F142E3">
        <w:t>of</w:t>
      </w:r>
      <w:r w:rsidR="00F142E3" w:rsidRPr="003D0A60">
        <w:t xml:space="preserve"> market-specific prices. </w:t>
      </w:r>
      <w:r w:rsidR="00F142E3">
        <w:t xml:space="preserve"> </w:t>
      </w:r>
    </w:p>
    <w:p w14:paraId="0E846A88" w14:textId="69F32353" w:rsidR="00967F53" w:rsidRDefault="00C9532D" w:rsidP="00967F53">
      <w:pPr>
        <w:widowControl w:val="0"/>
        <w:ind w:right="990"/>
        <w:jc w:val="both"/>
      </w:pPr>
      <w:r>
        <w:t>An example of the</w:t>
      </w:r>
      <w:r w:rsidR="00967F53">
        <w:t xml:space="preserve"> calculation of the food basket is shown in </w:t>
      </w:r>
      <w:r>
        <w:fldChar w:fldCharType="begin"/>
      </w:r>
      <w:r>
        <w:instrText xml:space="preserve"> REF _Ref459889320 \h </w:instrText>
      </w:r>
      <w:r>
        <w:fldChar w:fldCharType="separate"/>
      </w:r>
      <w:r>
        <w:t xml:space="preserve">Table </w:t>
      </w:r>
      <w:r>
        <w:rPr>
          <w:noProof/>
        </w:rPr>
        <w:t>2</w:t>
      </w:r>
      <w:r>
        <w:fldChar w:fldCharType="end"/>
      </w:r>
      <w:r>
        <w:t>.</w:t>
      </w:r>
    </w:p>
    <w:p w14:paraId="4BAF3EE5" w14:textId="03754345" w:rsidR="00EA7126" w:rsidRDefault="00EA7126" w:rsidP="00B65400">
      <w:pPr>
        <w:pStyle w:val="Caption"/>
        <w:spacing w:after="0"/>
      </w:pPr>
      <w:bookmarkStart w:id="5" w:name="_Ref459889320"/>
      <w:r>
        <w:t xml:space="preserve">Table </w:t>
      </w:r>
      <w:r w:rsidR="004D0C3D">
        <w:fldChar w:fldCharType="begin"/>
      </w:r>
      <w:r w:rsidR="004D0C3D">
        <w:instrText xml:space="preserve"> SEQ Table \* ARABIC </w:instrText>
      </w:r>
      <w:r w:rsidR="004D0C3D">
        <w:fldChar w:fldCharType="separate"/>
      </w:r>
      <w:r w:rsidR="00967E0F">
        <w:rPr>
          <w:noProof/>
        </w:rPr>
        <w:t>2</w:t>
      </w:r>
      <w:r w:rsidR="004D0C3D">
        <w:rPr>
          <w:noProof/>
        </w:rPr>
        <w:fldChar w:fldCharType="end"/>
      </w:r>
      <w:bookmarkEnd w:id="5"/>
      <w:r>
        <w:t xml:space="preserve"> </w:t>
      </w:r>
      <w:r w:rsidR="004E3599">
        <w:t xml:space="preserve">- </w:t>
      </w:r>
      <w:r>
        <w:t>Cost of the food basket in Côte d'Ivoire in August 2013</w:t>
      </w:r>
    </w:p>
    <w:p w14:paraId="0F9061CF" w14:textId="126BCC2E" w:rsidR="00967F53" w:rsidRDefault="00967E0F" w:rsidP="00967E0F">
      <w:pPr>
        <w:widowControl w:val="0"/>
        <w:spacing w:after="0" w:line="240" w:lineRule="auto"/>
        <w:ind w:right="994"/>
        <w:jc w:val="both"/>
      </w:pPr>
      <w:r w:rsidRPr="00967E0F">
        <w:rPr>
          <w:noProof/>
        </w:rPr>
        <w:drawing>
          <wp:inline distT="0" distB="0" distL="0" distR="0" wp14:anchorId="1DF5A09C" wp14:editId="097FC52B">
            <wp:extent cx="5943600" cy="1031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31033"/>
                    </a:xfrm>
                    <a:prstGeom prst="rect">
                      <a:avLst/>
                    </a:prstGeom>
                    <a:noFill/>
                    <a:ln>
                      <a:noFill/>
                    </a:ln>
                  </pic:spPr>
                </pic:pic>
              </a:graphicData>
            </a:graphic>
          </wp:inline>
        </w:drawing>
      </w:r>
    </w:p>
    <w:p w14:paraId="0CE085D2" w14:textId="06BD6387" w:rsidR="002E382B" w:rsidRPr="009522CA" w:rsidRDefault="002E382B" w:rsidP="00967F53">
      <w:pPr>
        <w:widowControl w:val="0"/>
        <w:ind w:right="990"/>
        <w:jc w:val="both"/>
        <w:rPr>
          <w:i/>
          <w:sz w:val="18"/>
          <w:szCs w:val="18"/>
        </w:rPr>
      </w:pPr>
      <w:r w:rsidRPr="009522CA">
        <w:rPr>
          <w:i/>
          <w:sz w:val="18"/>
          <w:szCs w:val="18"/>
        </w:rPr>
        <w:t>Source:</w:t>
      </w:r>
      <w:r w:rsidR="00165A81" w:rsidRPr="009522CA">
        <w:rPr>
          <w:i/>
          <w:sz w:val="18"/>
          <w:szCs w:val="18"/>
        </w:rPr>
        <w:t xml:space="preserve"> a</w:t>
      </w:r>
      <w:r w:rsidR="005C0775" w:rsidRPr="009522CA">
        <w:rPr>
          <w:i/>
          <w:sz w:val="18"/>
          <w:szCs w:val="18"/>
        </w:rPr>
        <w:t>uthor</w:t>
      </w:r>
      <w:r w:rsidR="00F84DDE" w:rsidRPr="009522CA">
        <w:rPr>
          <w:i/>
          <w:sz w:val="18"/>
          <w:szCs w:val="18"/>
        </w:rPr>
        <w:t>s</w:t>
      </w:r>
      <w:r w:rsidR="005C0775" w:rsidRPr="009522CA">
        <w:rPr>
          <w:i/>
          <w:sz w:val="18"/>
          <w:szCs w:val="18"/>
        </w:rPr>
        <w:t>’ calculation on</w:t>
      </w:r>
      <w:r w:rsidRPr="009522CA">
        <w:rPr>
          <w:i/>
          <w:sz w:val="18"/>
          <w:szCs w:val="18"/>
        </w:rPr>
        <w:t xml:space="preserve"> </w:t>
      </w:r>
      <w:r w:rsidR="005C0775" w:rsidRPr="009522CA">
        <w:rPr>
          <w:i/>
          <w:noProof/>
          <w:sz w:val="18"/>
          <w:szCs w:val="18"/>
        </w:rPr>
        <w:t>VAM/WFP</w:t>
      </w:r>
      <w:r w:rsidRPr="009522CA">
        <w:rPr>
          <w:i/>
          <w:noProof/>
          <w:sz w:val="18"/>
          <w:szCs w:val="18"/>
        </w:rPr>
        <w:t xml:space="preserve">, NutVal.Net, and GIEWS/FAO </w:t>
      </w:r>
      <w:r w:rsidR="005C0775" w:rsidRPr="009522CA">
        <w:rPr>
          <w:i/>
          <w:noProof/>
          <w:sz w:val="18"/>
          <w:szCs w:val="18"/>
        </w:rPr>
        <w:t>data.</w:t>
      </w:r>
    </w:p>
    <w:p w14:paraId="2E48F787" w14:textId="4A886BEF" w:rsidR="00DD22F8" w:rsidRDefault="00805737" w:rsidP="001115CB">
      <w:pPr>
        <w:jc w:val="both"/>
      </w:pPr>
      <w:r w:rsidRPr="00514E85">
        <w:lastRenderedPageBreak/>
        <w:t xml:space="preserve">Once time series </w:t>
      </w:r>
      <w:r w:rsidR="003E583E" w:rsidRPr="00514E85">
        <w:t>for</w:t>
      </w:r>
      <w:r w:rsidRPr="00514E85">
        <w:t xml:space="preserve"> the cost of country-specific food basket</w:t>
      </w:r>
      <w:r w:rsidR="00482CF4" w:rsidRPr="00514E85">
        <w:t>s</w:t>
      </w:r>
      <w:r w:rsidRPr="00514E85">
        <w:t xml:space="preserve"> </w:t>
      </w:r>
      <w:r w:rsidR="00482CF4" w:rsidRPr="00514E85">
        <w:t>are</w:t>
      </w:r>
      <w:r w:rsidRPr="00514E85">
        <w:t xml:space="preserve"> computed, </w:t>
      </w:r>
      <w:r w:rsidR="001C0FF0" w:rsidRPr="00514E85">
        <w:t>the seasonal index</w:t>
      </w:r>
      <w:r w:rsidR="001C0E28">
        <w:t xml:space="preserve"> of the food bundle</w:t>
      </w:r>
      <w:r w:rsidR="003E583E">
        <w:t xml:space="preserve"> is constructed</w:t>
      </w:r>
      <w:r w:rsidR="0053158E">
        <w:t xml:space="preserve"> for each country. </w:t>
      </w:r>
    </w:p>
    <w:p w14:paraId="32D9EAFD" w14:textId="2F018A49" w:rsidR="00DD22F8" w:rsidRPr="005951FD" w:rsidRDefault="009C6F43" w:rsidP="00CF43B4">
      <w:pPr>
        <w:pStyle w:val="Heading1"/>
      </w:pPr>
      <w:bookmarkStart w:id="6" w:name="_Toc460226855"/>
      <w:r>
        <w:t xml:space="preserve">The </w:t>
      </w:r>
      <w:r w:rsidR="003D3CA1">
        <w:t>Seasonal I</w:t>
      </w:r>
      <w:r w:rsidR="00DD22F8">
        <w:t>ndex</w:t>
      </w:r>
      <w:bookmarkEnd w:id="6"/>
    </w:p>
    <w:p w14:paraId="590F2DEB" w14:textId="064A0C0B" w:rsidR="00805737" w:rsidRDefault="009C6F43" w:rsidP="00514E85">
      <w:pPr>
        <w:jc w:val="both"/>
        <w:rPr>
          <w:b/>
        </w:rPr>
      </w:pPr>
      <w:r>
        <w:t>The seasonal i</w:t>
      </w:r>
      <w:r w:rsidR="00504130">
        <w:t>ndex</w:t>
      </w:r>
      <w:r w:rsidR="00514E85">
        <w:t xml:space="preserve"> </w:t>
      </w:r>
      <w:r w:rsidR="00FE0EF5">
        <w:t>describes</w:t>
      </w:r>
      <w:r w:rsidR="00C8219C" w:rsidRPr="00C8219C">
        <w:t xml:space="preserve"> the</w:t>
      </w:r>
      <w:r w:rsidR="00C8219C">
        <w:t xml:space="preserve"> </w:t>
      </w:r>
      <w:r w:rsidR="00864C0D">
        <w:t xml:space="preserve">predictable </w:t>
      </w:r>
      <w:r w:rsidR="00C8219C">
        <w:t xml:space="preserve">average seasonal patterns of the </w:t>
      </w:r>
      <w:r w:rsidR="001C0E28">
        <w:t xml:space="preserve">cost of </w:t>
      </w:r>
      <w:r w:rsidR="00C8219C">
        <w:t xml:space="preserve">food basket </w:t>
      </w:r>
      <w:r w:rsidR="003E583E">
        <w:t>over a year</w:t>
      </w:r>
      <w:r w:rsidR="00C8219C">
        <w:t>.</w:t>
      </w:r>
    </w:p>
    <w:p w14:paraId="36617EA8" w14:textId="69DC79C2" w:rsidR="001C0FF0" w:rsidRPr="00805737" w:rsidRDefault="00864C0D" w:rsidP="001115CB">
      <w:pPr>
        <w:jc w:val="both"/>
      </w:pPr>
      <w:r>
        <w:t xml:space="preserve">A seasonal index is obtained by separating trend and seasonal components of the time series. In particular, for the calculation of the </w:t>
      </w:r>
      <w:r w:rsidR="008C7D7E">
        <w:t>SFE</w:t>
      </w:r>
      <w:r w:rsidR="00504130">
        <w:t xml:space="preserve">, the seasonal index </w:t>
      </w:r>
      <w:r w:rsidR="001C0FF0" w:rsidRPr="00805737">
        <w:t xml:space="preserve">is </w:t>
      </w:r>
      <w:r w:rsidR="00805737" w:rsidRPr="00805737">
        <w:t>obtained from</w:t>
      </w:r>
      <w:r w:rsidR="001C0FF0" w:rsidRPr="00805737">
        <w:t xml:space="preserve"> the </w:t>
      </w:r>
      <w:r w:rsidR="003941C7" w:rsidRPr="00805737">
        <w:t>modified c</w:t>
      </w:r>
      <w:r w:rsidR="00740487" w:rsidRPr="00805737">
        <w:t xml:space="preserve">entered </w:t>
      </w:r>
      <w:r w:rsidR="00805737" w:rsidRPr="00805737">
        <w:t>moving average of</w:t>
      </w:r>
      <w:r w:rsidR="003941C7" w:rsidRPr="00805737">
        <w:t xml:space="preserve"> logged data</w:t>
      </w:r>
      <w:r w:rsidR="0053158E">
        <w:t xml:space="preserve"> (Log CMA)</w:t>
      </w:r>
      <w:r w:rsidR="00805737" w:rsidRPr="00805737">
        <w:t>. The</w:t>
      </w:r>
      <w:r w:rsidR="00717702" w:rsidRPr="00805737">
        <w:t xml:space="preserve"> procedure is </w:t>
      </w:r>
      <w:r w:rsidR="009F22EF" w:rsidRPr="00805737">
        <w:t>advocated</w:t>
      </w:r>
      <w:r w:rsidR="00717702" w:rsidRPr="00805737">
        <w:t xml:space="preserve"> and described by</w:t>
      </w:r>
      <w:r w:rsidR="00FE0EF5">
        <w:t xml:space="preserve"> </w:t>
      </w:r>
      <w:r w:rsidR="00717702" w:rsidRPr="00805737">
        <w:t>Ittig</w:t>
      </w:r>
      <w:r w:rsidR="00FE0EF5">
        <w:t xml:space="preserve"> </w:t>
      </w:r>
      <w:sdt>
        <w:sdtPr>
          <w:id w:val="1354926120"/>
          <w:citation/>
        </w:sdtPr>
        <w:sdtEndPr/>
        <w:sdtContent>
          <w:r w:rsidR="00FE0EF5">
            <w:fldChar w:fldCharType="begin"/>
          </w:r>
          <w:r w:rsidR="00FE0EF5">
            <w:instrText xml:space="preserve">CITATION Itt04 \n  \t  \l 1033 </w:instrText>
          </w:r>
          <w:r w:rsidR="00FE0EF5">
            <w:fldChar w:fldCharType="separate"/>
          </w:r>
          <w:r w:rsidR="009A621F">
            <w:rPr>
              <w:noProof/>
            </w:rPr>
            <w:t>(2004)</w:t>
          </w:r>
          <w:r w:rsidR="00FE0EF5">
            <w:fldChar w:fldCharType="end"/>
          </w:r>
        </w:sdtContent>
      </w:sdt>
      <w:r w:rsidR="001C0FF0" w:rsidRPr="00805737">
        <w:t>.</w:t>
      </w:r>
      <w:r w:rsidR="004C327F" w:rsidRPr="00805737">
        <w:t xml:space="preserve"> </w:t>
      </w:r>
      <w:r w:rsidR="008E54E4">
        <w:t>In particular,</w:t>
      </w:r>
      <w:r w:rsidR="004C327F" w:rsidRPr="00805737">
        <w:t xml:space="preserve"> the Log CMA procedure involves five steps:</w:t>
      </w:r>
    </w:p>
    <w:p w14:paraId="5544CBF8" w14:textId="55A5299C" w:rsidR="00A7318F" w:rsidRPr="00512909" w:rsidRDefault="00512909" w:rsidP="004C327F">
      <w:pPr>
        <w:pStyle w:val="ListParagraph"/>
        <w:numPr>
          <w:ilvl w:val="0"/>
          <w:numId w:val="4"/>
        </w:numPr>
        <w:jc w:val="both"/>
      </w:pPr>
      <w:r>
        <w:t>compute</w:t>
      </w:r>
      <w:r w:rsidR="00140AE5" w:rsidRPr="00512909">
        <w:t xml:space="preserve"> the centered moving averages of order 12 for the logarithms of the cost of </w:t>
      </w:r>
      <w:r w:rsidR="0055749B">
        <w:t xml:space="preserve">the </w:t>
      </w:r>
      <w:r w:rsidR="00140AE5" w:rsidRPr="00512909">
        <w:t xml:space="preserve">food basket </w:t>
      </w:r>
      <w:r w:rsidR="004C327F" w:rsidRPr="00512909">
        <w:t>(</w:t>
      </w:r>
      <m:oMath>
        <m:sSub>
          <m:sSubPr>
            <m:ctrlPr>
              <w:rPr>
                <w:rFonts w:ascii="Cambria Math" w:hAnsi="Cambria Math"/>
                <w:i/>
                <w:iCs/>
              </w:rPr>
            </m:ctrlPr>
          </m:sSubPr>
          <m:e>
            <m:r>
              <m:rPr>
                <m:sty m:val="bi"/>
              </m:rPr>
              <w:rPr>
                <w:rFonts w:ascii="Cambria Math" w:hAnsi="Cambria Math"/>
              </w:rPr>
              <m:t>ln_p</m:t>
            </m:r>
          </m:e>
          <m:sub>
            <m:r>
              <w:rPr>
                <w:rFonts w:ascii="Cambria Math" w:hAnsi="Cambria Math"/>
              </w:rPr>
              <m:t>ct</m:t>
            </m:r>
          </m:sub>
        </m:sSub>
      </m:oMath>
      <w:r w:rsidR="004C327F" w:rsidRPr="00512909">
        <w:rPr>
          <w:rFonts w:eastAsiaTheme="minorEastAsia"/>
          <w:iCs/>
        </w:rPr>
        <w:t>)</w:t>
      </w:r>
      <w:r w:rsidR="0053158E">
        <w:rPr>
          <w:rFonts w:eastAsiaTheme="minorEastAsia"/>
          <w:iCs/>
        </w:rPr>
        <w:t xml:space="preserve"> for each country </w:t>
      </w:r>
      <w:r w:rsidR="0053158E">
        <w:rPr>
          <w:rFonts w:eastAsiaTheme="minorEastAsia"/>
          <w:i/>
          <w:iCs/>
        </w:rPr>
        <w:t>c</w:t>
      </w:r>
      <w:r w:rsidR="0053158E">
        <w:rPr>
          <w:rFonts w:eastAsiaTheme="minorEastAsia"/>
          <w:iCs/>
        </w:rPr>
        <w:t xml:space="preserve">, month </w:t>
      </w:r>
      <w:r w:rsidR="0053158E">
        <w:rPr>
          <w:rFonts w:eastAsiaTheme="minorEastAsia"/>
          <w:i/>
          <w:iCs/>
        </w:rPr>
        <w:t>m</w:t>
      </w:r>
      <w:r w:rsidR="0053158E">
        <w:rPr>
          <w:rFonts w:eastAsiaTheme="minorEastAsia"/>
          <w:iCs/>
        </w:rPr>
        <w:t xml:space="preserve">, and year </w:t>
      </w:r>
      <w:r w:rsidR="0053158E">
        <w:rPr>
          <w:rFonts w:eastAsiaTheme="minorEastAsia"/>
          <w:i/>
          <w:iCs/>
        </w:rPr>
        <w:t>y</w:t>
      </w:r>
      <w:r w:rsidR="009E3D69" w:rsidRPr="00512909">
        <w:rPr>
          <w:rFonts w:eastAsiaTheme="minorEastAsia"/>
          <w:iCs/>
        </w:rPr>
        <w:t>:</w:t>
      </w:r>
    </w:p>
    <w:p w14:paraId="4B51DA3C" w14:textId="7FEF92DB" w:rsidR="004C327F" w:rsidRPr="00512909" w:rsidRDefault="004D0C3D" w:rsidP="00AF30AC">
      <w:pPr>
        <w:jc w:val="center"/>
      </w:pPr>
      <m:oMathPara>
        <m:oMath>
          <m:sSub>
            <m:sSubPr>
              <m:ctrlPr>
                <w:rPr>
                  <w:rFonts w:ascii="Cambria Math" w:hAnsi="Cambria Math"/>
                  <w:i/>
                  <w:iCs/>
                </w:rPr>
              </m:ctrlPr>
            </m:sSubPr>
            <m:e>
              <m:r>
                <w:rPr>
                  <w:rFonts w:ascii="Cambria Math" w:hAnsi="Cambria Math"/>
                </w:rPr>
                <m:t>cma</m:t>
              </m:r>
            </m:e>
            <m:sub>
              <m:r>
                <w:rPr>
                  <w:rFonts w:ascii="Cambria Math" w:hAnsi="Cambria Math"/>
                </w:rPr>
                <m:t>cmy</m:t>
              </m:r>
            </m:sub>
          </m:sSub>
          <m:r>
            <w:rPr>
              <w:rFonts w:ascii="Cambria Math" w:hAnsi="Cambria Math"/>
            </w:rPr>
            <m:t>=</m:t>
          </m:r>
          <m:f>
            <m:fPr>
              <m:type m:val="lin"/>
              <m:ctrlPr>
                <w:rPr>
                  <w:rFonts w:ascii="Cambria Math" w:hAnsi="Cambria Math"/>
                  <w:i/>
                </w:rPr>
              </m:ctrlPr>
            </m:fPr>
            <m:num>
              <m:d>
                <m:dPr>
                  <m:ctrlPr>
                    <w:rPr>
                      <w:rFonts w:ascii="Cambria Math" w:hAnsi="Cambria Math"/>
                      <w:i/>
                    </w:rPr>
                  </m:ctrlPr>
                </m:dPr>
                <m:e>
                  <m:nary>
                    <m:naryPr>
                      <m:chr m:val="∑"/>
                      <m:ctrlPr>
                        <w:rPr>
                          <w:rFonts w:ascii="Cambria Math" w:hAnsi="Cambria Math"/>
                          <w:i/>
                          <w:iCs/>
                        </w:rPr>
                      </m:ctrlPr>
                    </m:naryPr>
                    <m:sub>
                      <m:r>
                        <w:rPr>
                          <w:rFonts w:ascii="Cambria Math" w:hAnsi="Cambria Math"/>
                        </w:rPr>
                        <m:t>k=-6</m:t>
                      </m:r>
                    </m:sub>
                    <m:sup>
                      <m:r>
                        <w:rPr>
                          <w:rFonts w:ascii="Cambria Math" w:hAnsi="Cambria Math"/>
                        </w:rPr>
                        <m:t>5</m:t>
                      </m:r>
                    </m:sup>
                    <m:e>
                      <m:f>
                        <m:fPr>
                          <m:ctrlPr>
                            <w:rPr>
                              <w:rFonts w:ascii="Cambria Math" w:hAnsi="Cambria Math"/>
                              <w:i/>
                              <w:iCs/>
                            </w:rPr>
                          </m:ctrlPr>
                        </m:fPr>
                        <m:num>
                          <m:sSub>
                            <m:sSubPr>
                              <m:ctrlPr>
                                <w:rPr>
                                  <w:rFonts w:ascii="Cambria Math" w:hAnsi="Cambria Math"/>
                                  <w:i/>
                                  <w:iCs/>
                                </w:rPr>
                              </m:ctrlPr>
                            </m:sSubPr>
                            <m:e>
                              <m:r>
                                <m:rPr>
                                  <m:sty m:val="p"/>
                                </m:rPr>
                                <w:rPr>
                                  <w:rFonts w:ascii="Cambria Math" w:hAnsi="Cambria Math"/>
                                </w:rPr>
                                <m:t>ln</m:t>
                              </m:r>
                              <m:r>
                                <w:rPr>
                                  <w:rFonts w:ascii="Cambria Math" w:hAnsi="Cambria Math"/>
                                </w:rPr>
                                <m:t>_p</m:t>
                              </m:r>
                            </m:e>
                            <m:sub>
                              <m:r>
                                <w:rPr>
                                  <w:rFonts w:ascii="Cambria Math" w:hAnsi="Cambria Math"/>
                                </w:rPr>
                                <m:t>c,m+k,y</m:t>
                              </m:r>
                            </m:sub>
                          </m:sSub>
                        </m:num>
                        <m:den>
                          <m:r>
                            <w:rPr>
                              <w:rFonts w:ascii="Cambria Math" w:hAnsi="Cambria Math"/>
                            </w:rPr>
                            <m:t>12</m:t>
                          </m:r>
                        </m:den>
                      </m:f>
                    </m:e>
                  </m:nary>
                  <m:r>
                    <w:rPr>
                      <w:rFonts w:ascii="Cambria Math" w:hAnsi="Cambria Math"/>
                    </w:rPr>
                    <m:t>+</m:t>
                  </m:r>
                  <m:nary>
                    <m:naryPr>
                      <m:chr m:val="∑"/>
                      <m:ctrlPr>
                        <w:rPr>
                          <w:rFonts w:ascii="Cambria Math" w:hAnsi="Cambria Math"/>
                          <w:i/>
                          <w:iCs/>
                        </w:rPr>
                      </m:ctrlPr>
                    </m:naryPr>
                    <m:sub>
                      <m:r>
                        <w:rPr>
                          <w:rFonts w:ascii="Cambria Math" w:hAnsi="Cambria Math"/>
                        </w:rPr>
                        <m:t>k=-5</m:t>
                      </m:r>
                    </m:sub>
                    <m:sup>
                      <m:r>
                        <w:rPr>
                          <w:rFonts w:ascii="Cambria Math" w:hAnsi="Cambria Math"/>
                        </w:rPr>
                        <m:t>6</m:t>
                      </m:r>
                    </m:sup>
                    <m:e>
                      <m:f>
                        <m:fPr>
                          <m:ctrlPr>
                            <w:rPr>
                              <w:rFonts w:ascii="Cambria Math" w:hAnsi="Cambria Math"/>
                              <w:i/>
                              <w:iCs/>
                            </w:rPr>
                          </m:ctrlPr>
                        </m:fPr>
                        <m:num>
                          <m:sSub>
                            <m:sSubPr>
                              <m:ctrlPr>
                                <w:rPr>
                                  <w:rFonts w:ascii="Cambria Math" w:hAnsi="Cambria Math"/>
                                  <w:i/>
                                  <w:iCs/>
                                </w:rPr>
                              </m:ctrlPr>
                            </m:sSubPr>
                            <m:e>
                              <m:r>
                                <m:rPr>
                                  <m:sty m:val="p"/>
                                </m:rPr>
                                <w:rPr>
                                  <w:rFonts w:ascii="Cambria Math" w:hAnsi="Cambria Math"/>
                                </w:rPr>
                                <m:t>ln</m:t>
                              </m:r>
                              <m:r>
                                <w:rPr>
                                  <w:rFonts w:ascii="Cambria Math" w:hAnsi="Cambria Math"/>
                                </w:rPr>
                                <m:t>_p</m:t>
                              </m:r>
                            </m:e>
                            <m:sub>
                              <m:r>
                                <w:rPr>
                                  <w:rFonts w:ascii="Cambria Math" w:hAnsi="Cambria Math"/>
                                </w:rPr>
                                <m:t>c,m+k,y</m:t>
                              </m:r>
                            </m:sub>
                          </m:sSub>
                        </m:num>
                        <m:den>
                          <m:r>
                            <w:rPr>
                              <w:rFonts w:ascii="Cambria Math" w:hAnsi="Cambria Math"/>
                            </w:rPr>
                            <m:t>12</m:t>
                          </m:r>
                        </m:den>
                      </m:f>
                    </m:e>
                  </m:nary>
                </m:e>
              </m:d>
            </m:num>
            <m:den>
              <m:r>
                <w:rPr>
                  <w:rFonts w:ascii="Cambria Math" w:hAnsi="Cambria Math"/>
                </w:rPr>
                <m:t>2</m:t>
              </m:r>
            </m:den>
          </m:f>
        </m:oMath>
      </m:oMathPara>
    </w:p>
    <w:p w14:paraId="1E2E1447" w14:textId="0FF0D2E0" w:rsidR="004C327F" w:rsidRPr="00512909" w:rsidRDefault="00512909" w:rsidP="004C327F">
      <w:pPr>
        <w:pStyle w:val="ListParagraph"/>
        <w:numPr>
          <w:ilvl w:val="0"/>
          <w:numId w:val="4"/>
        </w:numPr>
        <w:jc w:val="both"/>
      </w:pPr>
      <w:r>
        <w:t>compute</w:t>
      </w:r>
      <w:r w:rsidRPr="00512909">
        <w:t xml:space="preserve"> </w:t>
      </w:r>
      <w:r w:rsidR="004C327F" w:rsidRPr="00512909">
        <w:t>the deviation of the logarithm cost of food basket f</w:t>
      </w:r>
      <w:r w:rsidR="007E171E">
        <w:t>rom the centered moving average</w:t>
      </w:r>
      <w:r w:rsidR="009E3D69" w:rsidRPr="00512909">
        <w:t>:</w:t>
      </w:r>
    </w:p>
    <w:p w14:paraId="647F696A" w14:textId="6BC10DB4" w:rsidR="00DF57FC" w:rsidRPr="00DF57FC" w:rsidRDefault="004D0C3D" w:rsidP="00DF57FC">
      <w:pPr>
        <w:pStyle w:val="ListParagraph"/>
        <w:jc w:val="both"/>
        <w:rPr>
          <w:rFonts w:eastAsiaTheme="minorEastAsia"/>
          <w:iCs/>
        </w:rPr>
      </w:pPr>
      <m:oMathPara>
        <m:oMath>
          <m:sSub>
            <m:sSubPr>
              <m:ctrlPr>
                <w:rPr>
                  <w:rFonts w:ascii="Cambria Math" w:hAnsi="Cambria Math"/>
                  <w:i/>
                  <w:iCs/>
                </w:rPr>
              </m:ctrlPr>
            </m:sSubPr>
            <m:e>
              <m:r>
                <w:rPr>
                  <w:rFonts w:ascii="Cambria Math" w:hAnsi="Cambria Math"/>
                </w:rPr>
                <m:t>s</m:t>
              </m:r>
            </m:e>
            <m:sub>
              <m:r>
                <w:rPr>
                  <w:rFonts w:ascii="Cambria Math" w:hAnsi="Cambria Math"/>
                </w:rPr>
                <m:t>cmy</m:t>
              </m:r>
            </m:sub>
          </m:sSub>
          <m:r>
            <w:rPr>
              <w:rFonts w:ascii="Cambria Math" w:hAnsi="Cambria Math"/>
            </w:rPr>
            <m:t>=</m:t>
          </m:r>
          <m:sSub>
            <m:sSubPr>
              <m:ctrlPr>
                <w:rPr>
                  <w:rFonts w:ascii="Cambria Math" w:hAnsi="Cambria Math"/>
                  <w:i/>
                  <w:iCs/>
                </w:rPr>
              </m:ctrlPr>
            </m:sSubPr>
            <m:e>
              <m:r>
                <m:rPr>
                  <m:sty m:val="p"/>
                </m:rPr>
                <w:rPr>
                  <w:rFonts w:ascii="Cambria Math" w:hAnsi="Cambria Math"/>
                </w:rPr>
                <m:t>ln</m:t>
              </m:r>
              <m:r>
                <w:rPr>
                  <w:rFonts w:ascii="Cambria Math" w:hAnsi="Cambria Math"/>
                </w:rPr>
                <m:t>_p</m:t>
              </m:r>
            </m:e>
            <m:sub>
              <m:r>
                <w:rPr>
                  <w:rFonts w:ascii="Cambria Math" w:hAnsi="Cambria Math"/>
                </w:rPr>
                <m:t>cmy</m:t>
              </m:r>
            </m:sub>
          </m:sSub>
          <m:r>
            <w:rPr>
              <w:rFonts w:ascii="Cambria Math" w:hAnsi="Cambria Math"/>
            </w:rPr>
            <m:t>-</m:t>
          </m:r>
          <m:sSub>
            <m:sSubPr>
              <m:ctrlPr>
                <w:rPr>
                  <w:rFonts w:ascii="Cambria Math" w:hAnsi="Cambria Math"/>
                  <w:i/>
                  <w:iCs/>
                </w:rPr>
              </m:ctrlPr>
            </m:sSubPr>
            <m:e>
              <m:r>
                <w:rPr>
                  <w:rFonts w:ascii="Cambria Math" w:hAnsi="Cambria Math"/>
                </w:rPr>
                <m:t>cma</m:t>
              </m:r>
            </m:e>
            <m:sub>
              <m:r>
                <w:rPr>
                  <w:rFonts w:ascii="Cambria Math" w:hAnsi="Cambria Math"/>
                </w:rPr>
                <m:t>cmy</m:t>
              </m:r>
            </m:sub>
          </m:sSub>
        </m:oMath>
      </m:oMathPara>
    </w:p>
    <w:p w14:paraId="0FC33155" w14:textId="2BB66879" w:rsidR="00AD44C5" w:rsidRPr="00512909" w:rsidRDefault="00DF57FC" w:rsidP="00AD44C5">
      <w:pPr>
        <w:pStyle w:val="ListParagraph"/>
        <w:numPr>
          <w:ilvl w:val="0"/>
          <w:numId w:val="4"/>
        </w:numPr>
        <w:jc w:val="both"/>
      </w:pPr>
      <w:r>
        <w:t xml:space="preserve">calculate the average </w:t>
      </w:r>
      <w:r w:rsidR="00AD44C5" w:rsidRPr="00512909">
        <w:t xml:space="preserve">deviation for each month </w:t>
      </w:r>
      <w:r w:rsidR="00FE0EF5">
        <w:t>of</w:t>
      </w:r>
      <w:r>
        <w:t xml:space="preserve"> the whole time period available in order to obtain 12 values, one for each month (often referred to as the Grand Seasonal Index)</w:t>
      </w:r>
      <w:r w:rsidR="00AD44C5" w:rsidRPr="00512909">
        <w:t>:</w:t>
      </w:r>
      <w:r w:rsidR="00140AE5" w:rsidRPr="00512909">
        <w:t xml:space="preserve"> </w:t>
      </w:r>
    </w:p>
    <w:p w14:paraId="4E484093" w14:textId="4C4F4F71" w:rsidR="00A7318F" w:rsidRPr="00AF30AC" w:rsidRDefault="004D0C3D" w:rsidP="007E171E">
      <w:pPr>
        <w:pStyle w:val="ListParagraph"/>
        <w:ind w:left="2880" w:firstLine="720"/>
        <w:jc w:val="center"/>
      </w:pP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s</m:t>
                </m:r>
              </m:e>
            </m:acc>
          </m:e>
          <m:sub>
            <m:r>
              <w:rPr>
                <w:rFonts w:ascii="Cambria Math" w:hAnsi="Cambria Math"/>
              </w:rPr>
              <m:t>cm</m:t>
            </m:r>
          </m:sub>
        </m:sSub>
        <m:r>
          <w:rPr>
            <w:rFonts w:ascii="Cambria Math" w:hAnsi="Cambria Math"/>
          </w:rPr>
          <m:t>=</m:t>
        </m:r>
        <m:nary>
          <m:naryPr>
            <m:chr m:val="∑"/>
            <m:supHide m:val="1"/>
            <m:ctrlPr>
              <w:rPr>
                <w:rFonts w:ascii="Cambria Math" w:hAnsi="Cambria Math"/>
                <w:i/>
                <w:iCs/>
              </w:rPr>
            </m:ctrlPr>
          </m:naryPr>
          <m:sub>
            <m:r>
              <w:rPr>
                <w:rFonts w:ascii="Cambria Math" w:hAnsi="Cambria Math"/>
              </w:rPr>
              <m:t>y</m:t>
            </m:r>
          </m:sub>
          <m:sup/>
          <m:e>
            <m:sSub>
              <m:sSubPr>
                <m:ctrlPr>
                  <w:rPr>
                    <w:rFonts w:ascii="Cambria Math" w:hAnsi="Cambria Math"/>
                    <w:i/>
                    <w:iCs/>
                  </w:rPr>
                </m:ctrlPr>
              </m:sSubPr>
              <m:e>
                <m:r>
                  <w:rPr>
                    <w:rFonts w:ascii="Cambria Math" w:hAnsi="Cambria Math"/>
                  </w:rPr>
                  <m:t>s</m:t>
                </m:r>
              </m:e>
              <m:sub>
                <m:r>
                  <w:rPr>
                    <w:rFonts w:ascii="Cambria Math" w:hAnsi="Cambria Math"/>
                  </w:rPr>
                  <m:t>cmy</m:t>
                </m:r>
              </m:sub>
            </m:sSub>
          </m:e>
        </m:nary>
        <m:r>
          <w:rPr>
            <w:rFonts w:ascii="Cambria Math" w:hAnsi="Cambria Math"/>
          </w:rPr>
          <m:t>/Y</m:t>
        </m:r>
      </m:oMath>
      <w:r w:rsidR="007E171E">
        <w:rPr>
          <w:rFonts w:eastAsiaTheme="minorEastAsia"/>
        </w:rPr>
        <w:tab/>
        <w:t xml:space="preserve">, </w:t>
      </w:r>
      <w:r w:rsidR="007E171E" w:rsidRPr="007E171E">
        <w:rPr>
          <w:rFonts w:eastAsiaTheme="minorEastAsia"/>
          <w:i/>
        </w:rPr>
        <w:t>where</w:t>
      </w:r>
      <w:r w:rsidR="007E171E">
        <w:rPr>
          <w:rFonts w:eastAsiaTheme="minorEastAsia"/>
        </w:rPr>
        <w:t xml:space="preserve"> </w:t>
      </w:r>
      <w:r w:rsidR="007E171E" w:rsidRPr="007E171E">
        <w:rPr>
          <w:rFonts w:eastAsiaTheme="minorEastAsia"/>
          <w:i/>
        </w:rPr>
        <w:t>Y</w:t>
      </w:r>
      <w:r w:rsidR="007E171E">
        <w:rPr>
          <w:rFonts w:eastAsiaTheme="minorEastAsia"/>
        </w:rPr>
        <w:t xml:space="preserve"> is the count of </w:t>
      </w:r>
      <w:r w:rsidR="007E171E" w:rsidRPr="007E171E">
        <w:rPr>
          <w:rFonts w:eastAsiaTheme="minorEastAsia"/>
          <w:i/>
        </w:rPr>
        <w:t>y</w:t>
      </w:r>
    </w:p>
    <w:p w14:paraId="44E2382B" w14:textId="51700E25" w:rsidR="009E3D69" w:rsidRPr="00512909" w:rsidRDefault="009E3D69" w:rsidP="009E3D69">
      <w:pPr>
        <w:pStyle w:val="ListParagraph"/>
        <w:numPr>
          <w:ilvl w:val="0"/>
          <w:numId w:val="4"/>
        </w:numPr>
        <w:jc w:val="both"/>
      </w:pPr>
      <w:r w:rsidRPr="00512909">
        <w:t xml:space="preserve">apply the </w:t>
      </w:r>
      <w:r w:rsidR="006B6FD7">
        <w:t xml:space="preserve">exponential function with base </w:t>
      </w:r>
      <w:r w:rsidR="006B6FD7" w:rsidRPr="006B6FD7">
        <w:rPr>
          <w:i/>
        </w:rPr>
        <w:t>e</w:t>
      </w:r>
      <w:r w:rsidR="002B07D5">
        <w:t>:</w:t>
      </w:r>
      <w:r w:rsidR="006B6FD7">
        <w:rPr>
          <w:rStyle w:val="FootnoteReference"/>
          <w:i/>
        </w:rPr>
        <w:footnoteReference w:id="8"/>
      </w:r>
      <w:r w:rsidRPr="00512909">
        <w:tab/>
      </w:r>
      <w:r w:rsidRPr="00512909">
        <w:tab/>
      </w:r>
    </w:p>
    <w:p w14:paraId="3591B19F" w14:textId="77777777" w:rsidR="00A7318F" w:rsidRPr="00AF30AC" w:rsidRDefault="004D0C3D" w:rsidP="009E3D69">
      <w:pPr>
        <w:pStyle w:val="ListParagraph"/>
        <w:jc w:val="center"/>
      </w:pPr>
      <m:oMathPara>
        <m:oMathParaPr>
          <m:jc m:val="center"/>
        </m:oMathParaPr>
        <m:oMath>
          <m:sSub>
            <m:sSubPr>
              <m:ctrlPr>
                <w:rPr>
                  <w:rFonts w:ascii="Cambria Math" w:hAnsi="Cambria Math"/>
                  <w:i/>
                  <w:iCs/>
                </w:rPr>
              </m:ctrlPr>
            </m:sSubPr>
            <m:e>
              <m:r>
                <w:rPr>
                  <w:rFonts w:ascii="Cambria Math" w:hAnsi="Cambria Math"/>
                </w:rPr>
                <m:t>e_</m:t>
              </m:r>
              <m:acc>
                <m:accPr>
                  <m:chr m:val="̅"/>
                  <m:ctrlPr>
                    <w:rPr>
                      <w:rFonts w:ascii="Cambria Math" w:hAnsi="Cambria Math"/>
                      <w:i/>
                      <w:iCs/>
                    </w:rPr>
                  </m:ctrlPr>
                </m:accPr>
                <m:e>
                  <m:r>
                    <w:rPr>
                      <w:rFonts w:ascii="Cambria Math" w:hAnsi="Cambria Math"/>
                    </w:rPr>
                    <m:t>s</m:t>
                  </m:r>
                </m:e>
              </m:acc>
            </m:e>
            <m:sub>
              <m:r>
                <w:rPr>
                  <w:rFonts w:ascii="Cambria Math" w:hAnsi="Cambria Math"/>
                </w:rPr>
                <m:t>cm</m:t>
              </m:r>
            </m:sub>
          </m:sSub>
          <m:r>
            <w:rPr>
              <w:rFonts w:ascii="Cambria Math" w:hAnsi="Cambria Math"/>
            </w:rPr>
            <m:t>=</m:t>
          </m:r>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acc>
                    <m:accPr>
                      <m:chr m:val="̅"/>
                      <m:ctrlPr>
                        <w:rPr>
                          <w:rFonts w:ascii="Cambria Math" w:hAnsi="Cambria Math"/>
                          <w:i/>
                          <w:iCs/>
                        </w:rPr>
                      </m:ctrlPr>
                    </m:accPr>
                    <m:e>
                      <m:r>
                        <w:rPr>
                          <w:rFonts w:ascii="Cambria Math" w:hAnsi="Cambria Math"/>
                        </w:rPr>
                        <m:t>s</m:t>
                      </m:r>
                    </m:e>
                  </m:acc>
                </m:e>
                <m:sub>
                  <m:r>
                    <w:rPr>
                      <w:rFonts w:ascii="Cambria Math" w:hAnsi="Cambria Math"/>
                    </w:rPr>
                    <m:t>cm</m:t>
                  </m:r>
                </m:sub>
              </m:sSub>
            </m:sup>
          </m:sSup>
        </m:oMath>
      </m:oMathPara>
    </w:p>
    <w:p w14:paraId="3157FF19" w14:textId="77777777" w:rsidR="009E3D69" w:rsidRPr="00512909" w:rsidRDefault="009E3D69" w:rsidP="009E3D69">
      <w:pPr>
        <w:pStyle w:val="ListParagraph"/>
        <w:numPr>
          <w:ilvl w:val="0"/>
          <w:numId w:val="4"/>
        </w:numPr>
        <w:jc w:val="both"/>
      </w:pPr>
      <w:r w:rsidRPr="00512909">
        <w:t>n</w:t>
      </w:r>
      <w:r w:rsidR="00140AE5" w:rsidRPr="00512909">
        <w:t>ormalize the seasonal index :</w:t>
      </w:r>
    </w:p>
    <w:p w14:paraId="17E22FDC" w14:textId="008B9217" w:rsidR="004C327F" w:rsidRPr="0066126D" w:rsidRDefault="004D0C3D" w:rsidP="003E583E">
      <w:pPr>
        <w:pStyle w:val="ListParagraph"/>
        <w:jc w:val="center"/>
        <w:rPr>
          <w:rFonts w:eastAsiaTheme="minorEastAsia"/>
        </w:rPr>
      </w:pPr>
      <m:oMathPara>
        <m:oMathParaPr>
          <m:jc m:val="center"/>
        </m:oMathParaPr>
        <m:oMath>
          <m:sSub>
            <m:sSubPr>
              <m:ctrlPr>
                <w:rPr>
                  <w:rFonts w:ascii="Cambria Math" w:hAnsi="Cambria Math"/>
                  <w:i/>
                  <w:iCs/>
                </w:rPr>
              </m:ctrlPr>
            </m:sSubPr>
            <m:e>
              <m:r>
                <w:rPr>
                  <w:rFonts w:ascii="Cambria Math" w:hAnsi="Cambria Math"/>
                </w:rPr>
                <m:t>SI</m:t>
              </m:r>
            </m:e>
            <m:sub>
              <m:r>
                <w:rPr>
                  <w:rFonts w:ascii="Cambria Math" w:hAnsi="Cambria Math"/>
                </w:rPr>
                <m:t>cm</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e_</m:t>
                  </m:r>
                  <m:acc>
                    <m:accPr>
                      <m:chr m:val="̅"/>
                      <m:ctrlPr>
                        <w:rPr>
                          <w:rFonts w:ascii="Cambria Math" w:hAnsi="Cambria Math"/>
                          <w:i/>
                          <w:iCs/>
                        </w:rPr>
                      </m:ctrlPr>
                    </m:accPr>
                    <m:e>
                      <m:r>
                        <w:rPr>
                          <w:rFonts w:ascii="Cambria Math" w:hAnsi="Cambria Math"/>
                        </w:rPr>
                        <m:t>s</m:t>
                      </m:r>
                    </m:e>
                  </m:acc>
                </m:e>
                <m:sub>
                  <m:r>
                    <w:rPr>
                      <w:rFonts w:ascii="Cambria Math" w:hAnsi="Cambria Math"/>
                    </w:rPr>
                    <m:t>cm</m:t>
                  </m:r>
                </m:sub>
              </m:sSub>
            </m:num>
            <m:den>
              <m:f>
                <m:fPr>
                  <m:type m:val="lin"/>
                  <m:ctrlPr>
                    <w:rPr>
                      <w:rFonts w:ascii="Cambria Math" w:hAnsi="Cambria Math"/>
                      <w:i/>
                    </w:rPr>
                  </m:ctrlPr>
                </m:fPr>
                <m:num>
                  <m:nary>
                    <m:naryPr>
                      <m:chr m:val="∑"/>
                      <m:limLoc m:val="undOvr"/>
                      <m:ctrlPr>
                        <w:rPr>
                          <w:rFonts w:ascii="Cambria Math" w:hAnsi="Cambria Math"/>
                          <w:i/>
                        </w:rPr>
                      </m:ctrlPr>
                    </m:naryPr>
                    <m:sub>
                      <m:r>
                        <w:rPr>
                          <w:rFonts w:ascii="Cambria Math" w:hAnsi="Cambria Math"/>
                        </w:rPr>
                        <m:t>m=1</m:t>
                      </m:r>
                    </m:sub>
                    <m:sup>
                      <m:r>
                        <w:rPr>
                          <w:rFonts w:ascii="Cambria Math" w:hAnsi="Cambria Math"/>
                        </w:rPr>
                        <m:t>12</m:t>
                      </m:r>
                    </m:sup>
                    <m:e>
                      <m:sSub>
                        <m:sSubPr>
                          <m:ctrlPr>
                            <w:rPr>
                              <w:rFonts w:ascii="Cambria Math" w:hAnsi="Cambria Math"/>
                              <w:i/>
                              <w:iCs/>
                            </w:rPr>
                          </m:ctrlPr>
                        </m:sSubPr>
                        <m:e>
                          <m:r>
                            <w:rPr>
                              <w:rFonts w:ascii="Cambria Math" w:hAnsi="Cambria Math"/>
                            </w:rPr>
                            <m:t>e_</m:t>
                          </m:r>
                          <m:acc>
                            <m:accPr>
                              <m:chr m:val="̅"/>
                              <m:ctrlPr>
                                <w:rPr>
                                  <w:rFonts w:ascii="Cambria Math" w:hAnsi="Cambria Math"/>
                                  <w:i/>
                                  <w:iCs/>
                                </w:rPr>
                              </m:ctrlPr>
                            </m:accPr>
                            <m:e>
                              <m:r>
                                <w:rPr>
                                  <w:rFonts w:ascii="Cambria Math" w:hAnsi="Cambria Math"/>
                                </w:rPr>
                                <m:t>s</m:t>
                              </m:r>
                            </m:e>
                          </m:acc>
                        </m:e>
                        <m:sub>
                          <m:r>
                            <w:rPr>
                              <w:rFonts w:ascii="Cambria Math" w:hAnsi="Cambria Math"/>
                            </w:rPr>
                            <m:t>cm</m:t>
                          </m:r>
                        </m:sub>
                      </m:sSub>
                    </m:e>
                  </m:nary>
                </m:num>
                <m:den>
                  <m:r>
                    <w:rPr>
                      <w:rFonts w:ascii="Cambria Math" w:hAnsi="Cambria Math"/>
                    </w:rPr>
                    <m:t>12</m:t>
                  </m:r>
                </m:den>
              </m:f>
            </m:den>
          </m:f>
        </m:oMath>
      </m:oMathPara>
    </w:p>
    <w:p w14:paraId="00A1E9B0" w14:textId="31A66F51" w:rsidR="0066126D" w:rsidRPr="0066126D" w:rsidRDefault="0066126D" w:rsidP="0066126D">
      <w:pPr>
        <w:widowControl w:val="0"/>
        <w:ind w:right="990"/>
        <w:jc w:val="both"/>
      </w:pPr>
      <w:r>
        <w:t xml:space="preserve">An example of the calculation of the seasonal index is shown in </w:t>
      </w:r>
      <w:r>
        <w:fldChar w:fldCharType="begin"/>
      </w:r>
      <w:r>
        <w:instrText xml:space="preserve"> REF _Ref459897770 \h </w:instrText>
      </w:r>
      <w:r>
        <w:fldChar w:fldCharType="separate"/>
      </w:r>
      <w:r>
        <w:t xml:space="preserve">Table </w:t>
      </w:r>
      <w:r>
        <w:rPr>
          <w:noProof/>
        </w:rPr>
        <w:t>3</w:t>
      </w:r>
      <w:r>
        <w:fldChar w:fldCharType="end"/>
      </w:r>
      <w:r w:rsidR="001D02C7">
        <w:t>.</w:t>
      </w:r>
    </w:p>
    <w:p w14:paraId="27F24A58" w14:textId="44A26E81" w:rsidR="00AF04C5" w:rsidRDefault="00AF04C5" w:rsidP="00AF04C5">
      <w:pPr>
        <w:pStyle w:val="Caption"/>
      </w:pPr>
      <w:bookmarkStart w:id="7" w:name="_Ref459897770"/>
      <w:r>
        <w:t xml:space="preserve">Table </w:t>
      </w:r>
      <w:r w:rsidR="004D0C3D">
        <w:fldChar w:fldCharType="begin"/>
      </w:r>
      <w:r w:rsidR="004D0C3D">
        <w:instrText xml:space="preserve"> SEQ Table \* ARABIC </w:instrText>
      </w:r>
      <w:r w:rsidR="004D0C3D">
        <w:fldChar w:fldCharType="separate"/>
      </w:r>
      <w:r w:rsidR="00A53470">
        <w:rPr>
          <w:noProof/>
        </w:rPr>
        <w:t>3</w:t>
      </w:r>
      <w:r w:rsidR="004D0C3D">
        <w:rPr>
          <w:noProof/>
        </w:rPr>
        <w:fldChar w:fldCharType="end"/>
      </w:r>
      <w:bookmarkEnd w:id="7"/>
      <w:r>
        <w:t xml:space="preserve"> </w:t>
      </w:r>
      <w:r w:rsidR="004E3599">
        <w:t xml:space="preserve">- </w:t>
      </w:r>
      <w:r>
        <w:t>Calculation of the seasonal index for Afghanistan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6"/>
        <w:gridCol w:w="581"/>
        <w:gridCol w:w="4243"/>
      </w:tblGrid>
      <w:tr w:rsidR="00AF04C5" w14:paraId="3C78D269" w14:textId="77777777" w:rsidTr="002C3156">
        <w:tc>
          <w:tcPr>
            <w:tcW w:w="4536" w:type="dxa"/>
          </w:tcPr>
          <w:p w14:paraId="4C19D6D4" w14:textId="3022060A" w:rsidR="00AF04C5" w:rsidRDefault="005D5932" w:rsidP="003D3C0E">
            <w:pPr>
              <w:jc w:val="both"/>
            </w:pPr>
            <w:r>
              <w:rPr>
                <w:noProof/>
              </w:rPr>
              <w:lastRenderedPageBreak/>
              <mc:AlternateContent>
                <mc:Choice Requires="wps">
                  <w:drawing>
                    <wp:anchor distT="0" distB="0" distL="114300" distR="114300" simplePos="0" relativeHeight="251658240" behindDoc="0" locked="0" layoutInCell="1" allowOverlap="1" wp14:anchorId="3C61BF53" wp14:editId="63E27585">
                      <wp:simplePos x="0" y="0"/>
                      <wp:positionH relativeFrom="column">
                        <wp:posOffset>2646680</wp:posOffset>
                      </wp:positionH>
                      <wp:positionV relativeFrom="paragraph">
                        <wp:posOffset>1571625</wp:posOffset>
                      </wp:positionV>
                      <wp:extent cx="418465" cy="200025"/>
                      <wp:effectExtent l="0" t="19050" r="38735" b="47625"/>
                      <wp:wrapNone/>
                      <wp:docPr id="14" name="Right Arrow 14"/>
                      <wp:cNvGraphicFramePr/>
                      <a:graphic xmlns:a="http://schemas.openxmlformats.org/drawingml/2006/main">
                        <a:graphicData uri="http://schemas.microsoft.com/office/word/2010/wordprocessingShape">
                          <wps:wsp>
                            <wps:cNvSpPr/>
                            <wps:spPr>
                              <a:xfrm>
                                <a:off x="0" y="0"/>
                                <a:ext cx="41846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D0C90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208.4pt;margin-top:123.75pt;width:32.95pt;height:15.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" adj="16438" fillcolor="#5b9bd5 [3204]" strokecolor="#1f4d78 [1604]" strokeweight="1pt"/>
                  </w:pict>
                </mc:Fallback>
              </mc:AlternateContent>
            </w:r>
            <w:r w:rsidRPr="005D5932">
              <w:rPr>
                <w:noProof/>
              </w:rPr>
              <w:drawing>
                <wp:inline distT="0" distB="0" distL="0" distR="0" wp14:anchorId="25B771DD" wp14:editId="244E696D">
                  <wp:extent cx="2497526" cy="3675888"/>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7526" cy="3675888"/>
                          </a:xfrm>
                          <a:prstGeom prst="rect">
                            <a:avLst/>
                          </a:prstGeom>
                          <a:noFill/>
                          <a:ln>
                            <a:noFill/>
                          </a:ln>
                        </pic:spPr>
                      </pic:pic>
                    </a:graphicData>
                  </a:graphic>
                </wp:inline>
              </w:drawing>
            </w:r>
          </w:p>
        </w:tc>
        <w:tc>
          <w:tcPr>
            <w:tcW w:w="581" w:type="dxa"/>
          </w:tcPr>
          <w:p w14:paraId="1653501F" w14:textId="77777777" w:rsidR="00AF04C5" w:rsidRDefault="00AF04C5" w:rsidP="003D3C0E">
            <w:pPr>
              <w:jc w:val="both"/>
            </w:pPr>
          </w:p>
        </w:tc>
        <w:tc>
          <w:tcPr>
            <w:tcW w:w="4243" w:type="dxa"/>
          </w:tcPr>
          <w:p w14:paraId="54342D4D" w14:textId="7D9BC921" w:rsidR="00AF04C5" w:rsidRDefault="00AF04C5" w:rsidP="003D3C0E">
            <w:pPr>
              <w:jc w:val="both"/>
            </w:pPr>
          </w:p>
          <w:p w14:paraId="00FE6D6D" w14:textId="77777777" w:rsidR="005D5932" w:rsidRDefault="005D5932" w:rsidP="003D3C0E">
            <w:pPr>
              <w:jc w:val="both"/>
            </w:pPr>
          </w:p>
          <w:p w14:paraId="70BAD190" w14:textId="34CBEB94" w:rsidR="00AF04C5" w:rsidRDefault="005D5932" w:rsidP="003D3C0E">
            <w:pPr>
              <w:jc w:val="both"/>
            </w:pPr>
            <w:r w:rsidRPr="005D5932">
              <w:rPr>
                <w:noProof/>
              </w:rPr>
              <w:drawing>
                <wp:inline distT="0" distB="0" distL="0" distR="0" wp14:anchorId="0E195BE5" wp14:editId="7DE70C78">
                  <wp:extent cx="2287750" cy="24048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7750" cy="2404872"/>
                          </a:xfrm>
                          <a:prstGeom prst="rect">
                            <a:avLst/>
                          </a:prstGeom>
                          <a:noFill/>
                          <a:ln>
                            <a:noFill/>
                          </a:ln>
                        </pic:spPr>
                      </pic:pic>
                    </a:graphicData>
                  </a:graphic>
                </wp:inline>
              </w:drawing>
            </w:r>
          </w:p>
          <w:p w14:paraId="3B23CBD5" w14:textId="77777777" w:rsidR="00AF04C5" w:rsidRDefault="00AF04C5" w:rsidP="003D3C0E">
            <w:pPr>
              <w:jc w:val="both"/>
            </w:pPr>
          </w:p>
          <w:p w14:paraId="15356538" w14:textId="2FFDF49E" w:rsidR="00AF04C5" w:rsidRDefault="00AF04C5" w:rsidP="003D3C0E">
            <w:pPr>
              <w:jc w:val="both"/>
            </w:pPr>
          </w:p>
        </w:tc>
      </w:tr>
      <w:tr w:rsidR="003D3C0E" w14:paraId="7E5EA21B" w14:textId="77777777" w:rsidTr="002C3156">
        <w:tc>
          <w:tcPr>
            <w:tcW w:w="9360" w:type="dxa"/>
            <w:gridSpan w:val="3"/>
          </w:tcPr>
          <w:p w14:paraId="0ADF6384" w14:textId="77777777" w:rsidR="00515C20" w:rsidRDefault="003D3C0E" w:rsidP="00515C20">
            <w:pPr>
              <w:spacing w:before="120"/>
              <w:jc w:val="both"/>
              <w:rPr>
                <w:i/>
                <w:sz w:val="20"/>
                <w:szCs w:val="20"/>
              </w:rPr>
            </w:pPr>
            <w:r w:rsidRPr="009522CA">
              <w:rPr>
                <w:i/>
                <w:sz w:val="20"/>
                <w:szCs w:val="20"/>
              </w:rPr>
              <w:t xml:space="preserve">Note: avg1 and avg2 indicate the simple averages of the logarithm cost of the food basket for the entire 2007 and the period between February 2007 and January 2008 respectively. The centered moving average for July 2007 </w:t>
            </w:r>
            <w:r w:rsidR="00CA0EDE">
              <w:rPr>
                <w:i/>
                <w:sz w:val="20"/>
                <w:szCs w:val="20"/>
              </w:rPr>
              <w:t xml:space="preserve">(highlighted in blue) </w:t>
            </w:r>
            <w:r w:rsidRPr="009522CA">
              <w:rPr>
                <w:i/>
                <w:sz w:val="20"/>
                <w:szCs w:val="20"/>
              </w:rPr>
              <w:t xml:space="preserve">is given by the average of avg1 and </w:t>
            </w:r>
            <w:r w:rsidR="007B3D8B">
              <w:rPr>
                <w:i/>
                <w:sz w:val="20"/>
                <w:szCs w:val="20"/>
              </w:rPr>
              <w:t xml:space="preserve">avg2 - </w:t>
            </w:r>
            <w:r w:rsidRPr="009522CA">
              <w:rPr>
                <w:i/>
                <w:sz w:val="20"/>
                <w:szCs w:val="20"/>
              </w:rPr>
              <w:t>first step</w:t>
            </w:r>
            <w:r w:rsidR="007B3D8B">
              <w:rPr>
                <w:i/>
                <w:sz w:val="20"/>
                <w:szCs w:val="20"/>
              </w:rPr>
              <w:t xml:space="preserve"> of the Log CMA procedure</w:t>
            </w:r>
            <w:r w:rsidRPr="009522CA">
              <w:rPr>
                <w:i/>
                <w:sz w:val="20"/>
                <w:szCs w:val="20"/>
              </w:rPr>
              <w:t>. Column (b) contains the difference</w:t>
            </w:r>
            <w:r w:rsidR="007B3D8B">
              <w:rPr>
                <w:i/>
                <w:sz w:val="20"/>
                <w:szCs w:val="20"/>
              </w:rPr>
              <w:t>s</w:t>
            </w:r>
            <w:r w:rsidRPr="009522CA">
              <w:rPr>
                <w:i/>
                <w:sz w:val="20"/>
                <w:szCs w:val="20"/>
              </w:rPr>
              <w:t xml:space="preserve"> between </w:t>
            </w:r>
            <w:r w:rsidR="007B3D8B">
              <w:rPr>
                <w:i/>
                <w:sz w:val="20"/>
                <w:szCs w:val="20"/>
              </w:rPr>
              <w:t>the logarithm cost of the food basket</w:t>
            </w:r>
            <w:r w:rsidRPr="009522CA">
              <w:rPr>
                <w:i/>
                <w:sz w:val="20"/>
                <w:szCs w:val="20"/>
              </w:rPr>
              <w:t xml:space="preserve"> and </w:t>
            </w:r>
            <w:r w:rsidR="007B3D8B">
              <w:rPr>
                <w:i/>
                <w:sz w:val="20"/>
                <w:szCs w:val="20"/>
              </w:rPr>
              <w:t>Log CMA - second step</w:t>
            </w:r>
            <w:r w:rsidRPr="009522CA">
              <w:rPr>
                <w:i/>
                <w:sz w:val="20"/>
                <w:szCs w:val="20"/>
              </w:rPr>
              <w:t xml:space="preserve">. In column (c), the logarithm of the seasonal index for each month is obtained as simple average of all values for that month in column (b) – third step. The seasonal index in column (d) is obtained by exponentiation of </w:t>
            </w:r>
            <w:r w:rsidR="00DD3223">
              <w:rPr>
                <w:i/>
                <w:sz w:val="20"/>
                <w:szCs w:val="20"/>
              </w:rPr>
              <w:t xml:space="preserve">the </w:t>
            </w:r>
            <w:r w:rsidRPr="009522CA">
              <w:rPr>
                <w:i/>
                <w:sz w:val="20"/>
                <w:szCs w:val="20"/>
              </w:rPr>
              <w:t>values in column (c) – fourth step. Finally, the normalized seasonal index for each month is given by the corresponding value in column (d) divided by the mean of column (d) – fifth step</w:t>
            </w:r>
            <w:r w:rsidR="007F5194">
              <w:rPr>
                <w:i/>
                <w:sz w:val="20"/>
                <w:szCs w:val="20"/>
              </w:rPr>
              <w:t xml:space="preserve">. </w:t>
            </w:r>
          </w:p>
          <w:p w14:paraId="56A47663" w14:textId="1D7A10D4" w:rsidR="003D3C0E" w:rsidRDefault="007F5194" w:rsidP="00515C20">
            <w:pPr>
              <w:spacing w:after="240"/>
              <w:jc w:val="both"/>
            </w:pPr>
            <w:r>
              <w:rPr>
                <w:i/>
                <w:sz w:val="20"/>
                <w:szCs w:val="20"/>
              </w:rPr>
              <w:t>In this example</w:t>
            </w:r>
            <w:r w:rsidR="00FE689D">
              <w:rPr>
                <w:i/>
                <w:sz w:val="20"/>
                <w:szCs w:val="20"/>
              </w:rPr>
              <w:t>,</w:t>
            </w:r>
            <w:r>
              <w:rPr>
                <w:i/>
                <w:sz w:val="20"/>
                <w:szCs w:val="20"/>
              </w:rPr>
              <w:t xml:space="preserve"> the food bask</w:t>
            </w:r>
            <w:r w:rsidR="00DD3223">
              <w:rPr>
                <w:i/>
                <w:sz w:val="20"/>
                <w:szCs w:val="20"/>
              </w:rPr>
              <w:t>et covers 80 percent of the DER</w:t>
            </w:r>
            <w:r w:rsidR="003D3C0E" w:rsidRPr="009522CA">
              <w:rPr>
                <w:i/>
                <w:sz w:val="20"/>
                <w:szCs w:val="20"/>
              </w:rPr>
              <w:t>.</w:t>
            </w:r>
          </w:p>
        </w:tc>
      </w:tr>
    </w:tbl>
    <w:p w14:paraId="59093AAF" w14:textId="0912E8D0" w:rsidR="001D02C7" w:rsidRDefault="001D02C7" w:rsidP="001D02C7">
      <w:pPr>
        <w:jc w:val="both"/>
      </w:pPr>
      <w:r>
        <w:t xml:space="preserve">The normalized seasonal index calculated in </w:t>
      </w:r>
      <w:r>
        <w:fldChar w:fldCharType="begin"/>
      </w:r>
      <w:r>
        <w:instrText xml:space="preserve"> REF _Ref459897770 \h </w:instrText>
      </w:r>
      <w:r>
        <w:fldChar w:fldCharType="separate"/>
      </w:r>
      <w:r>
        <w:t xml:space="preserve">Table </w:t>
      </w:r>
      <w:r>
        <w:rPr>
          <w:noProof/>
        </w:rPr>
        <w:t>3</w:t>
      </w:r>
      <w:r>
        <w:fldChar w:fldCharType="end"/>
      </w:r>
      <w:r>
        <w:t xml:space="preserve"> is displayed in </w:t>
      </w:r>
      <w:r>
        <w:fldChar w:fldCharType="begin"/>
      </w:r>
      <w:r>
        <w:instrText xml:space="preserve"> REF _Ref459903948 \h </w:instrText>
      </w:r>
      <w:r>
        <w:fldChar w:fldCharType="separate"/>
      </w:r>
      <w:r>
        <w:t xml:space="preserve">Figure </w:t>
      </w:r>
      <w:r>
        <w:rPr>
          <w:noProof/>
        </w:rPr>
        <w:t>3</w:t>
      </w:r>
      <w:r>
        <w:fldChar w:fldCharType="end"/>
      </w:r>
      <w:r>
        <w:t xml:space="preserve">. </w:t>
      </w:r>
      <w:r w:rsidR="00DB2348">
        <w:t>The value</w:t>
      </w:r>
      <w:r w:rsidR="002E0D54">
        <w:t xml:space="preserve">s </w:t>
      </w:r>
      <w:r w:rsidR="00541948">
        <w:t>quantify</w:t>
      </w:r>
      <w:r w:rsidR="00DB2348">
        <w:t xml:space="preserve"> to what extent,</w:t>
      </w:r>
      <w:r w:rsidR="00DB2348" w:rsidRPr="00441EAB">
        <w:t xml:space="preserve"> on average</w:t>
      </w:r>
      <w:r w:rsidR="00DB2348">
        <w:t>,</w:t>
      </w:r>
      <w:r w:rsidR="00DB2348" w:rsidRPr="00441EAB">
        <w:t xml:space="preserve"> the monthly cost of the food basket </w:t>
      </w:r>
      <w:r w:rsidR="00DB2348">
        <w:t>deviates</w:t>
      </w:r>
      <w:r w:rsidR="00DB2348" w:rsidRPr="00441EAB">
        <w:t xml:space="preserve"> from the </w:t>
      </w:r>
      <w:r w:rsidR="00DB2348">
        <w:t>12-</w:t>
      </w:r>
      <w:r w:rsidR="00DB2348" w:rsidRPr="00441EAB">
        <w:t>month average</w:t>
      </w:r>
      <w:r w:rsidR="00DB2348">
        <w:t xml:space="preserve">. </w:t>
      </w:r>
      <w:r>
        <w:t>The graph exhibit</w:t>
      </w:r>
      <w:r w:rsidR="002E0D54">
        <w:t>s</w:t>
      </w:r>
      <w:r>
        <w:t xml:space="preserve"> a typical seasonal pattern. It shows that </w:t>
      </w:r>
      <w:r w:rsidR="001F240F">
        <w:t xml:space="preserve">May </w:t>
      </w:r>
      <w:r>
        <w:t>i</w:t>
      </w:r>
      <w:r w:rsidR="00AA5298">
        <w:t xml:space="preserve">s the most expensive month </w:t>
      </w:r>
      <w:r w:rsidR="007F5194">
        <w:t>with the</w:t>
      </w:r>
      <w:r w:rsidR="00AA5298">
        <w:t xml:space="preserve"> food basket </w:t>
      </w:r>
      <w:r w:rsidR="007F5194">
        <w:t>being</w:t>
      </w:r>
      <w:r w:rsidR="00AA5298">
        <w:t xml:space="preserve"> 2% more </w:t>
      </w:r>
      <w:r w:rsidR="007F5194">
        <w:t xml:space="preserve">expensive </w:t>
      </w:r>
      <w:r w:rsidR="00AA5298">
        <w:t>than the yearly average</w:t>
      </w:r>
      <w:r w:rsidR="001F240F">
        <w:t xml:space="preserve">, and </w:t>
      </w:r>
      <w:r w:rsidR="00493CE2">
        <w:t>that the cost of the daily 1</w:t>
      </w:r>
      <w:r w:rsidR="002E0D54">
        <w:t>,</w:t>
      </w:r>
      <w:r w:rsidR="00493CE2">
        <w:t>680 kcal</w:t>
      </w:r>
      <w:r w:rsidR="00504130">
        <w:t>/per capita</w:t>
      </w:r>
      <w:r w:rsidR="00322830">
        <w:t xml:space="preserve"> increases starting in</w:t>
      </w:r>
      <w:r w:rsidR="00493CE2">
        <w:t xml:space="preserve"> October.</w:t>
      </w:r>
      <w:r w:rsidR="005D5932" w:rsidRPr="005D5932">
        <w:t xml:space="preserve"> </w:t>
      </w:r>
    </w:p>
    <w:bookmarkStart w:id="8" w:name="_Ref459903948"/>
    <w:p w14:paraId="3D37A635" w14:textId="26762CCC" w:rsidR="005C0FDA" w:rsidRDefault="00AA5298" w:rsidP="005C0FDA">
      <w:pPr>
        <w:pStyle w:val="Caption"/>
      </w:pPr>
      <w:r>
        <w:rPr>
          <w:noProof/>
        </w:rPr>
        <mc:AlternateContent>
          <mc:Choice Requires="wpg">
            <w:drawing>
              <wp:anchor distT="0" distB="0" distL="114300" distR="114300" simplePos="0" relativeHeight="251661312" behindDoc="0" locked="0" layoutInCell="1" allowOverlap="1" wp14:anchorId="5B7B23F1" wp14:editId="20947DFC">
                <wp:simplePos x="0" y="0"/>
                <wp:positionH relativeFrom="column">
                  <wp:posOffset>3133725</wp:posOffset>
                </wp:positionH>
                <wp:positionV relativeFrom="paragraph">
                  <wp:posOffset>842645</wp:posOffset>
                </wp:positionV>
                <wp:extent cx="686435" cy="409575"/>
                <wp:effectExtent l="0" t="38100" r="0" b="9525"/>
                <wp:wrapNone/>
                <wp:docPr id="25" name="Group 25"/>
                <wp:cNvGraphicFramePr/>
                <a:graphic xmlns:a="http://schemas.openxmlformats.org/drawingml/2006/main">
                  <a:graphicData uri="http://schemas.microsoft.com/office/word/2010/wordprocessingGroup">
                    <wpg:wgp>
                      <wpg:cNvGrpSpPr/>
                      <wpg:grpSpPr>
                        <a:xfrm>
                          <a:off x="0" y="0"/>
                          <a:ext cx="686435" cy="409575"/>
                          <a:chOff x="0" y="0"/>
                          <a:chExt cx="686435" cy="409575"/>
                        </a:xfrm>
                      </wpg:grpSpPr>
                      <wps:wsp>
                        <wps:cNvPr id="23" name="Text Box 23"/>
                        <wps:cNvSpPr txBox="1"/>
                        <wps:spPr>
                          <a:xfrm>
                            <a:off x="0" y="238125"/>
                            <a:ext cx="686435" cy="171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44A324" w14:textId="63997F5F" w:rsidR="008A4C54" w:rsidRPr="00AA5298" w:rsidRDefault="008A4C54">
                              <w:pPr>
                                <w:rPr>
                                  <w:sz w:val="18"/>
                                  <w:szCs w:val="18"/>
                                </w:rPr>
                              </w:pPr>
                              <w:r w:rsidRPr="00AA5298">
                                <w:rPr>
                                  <w:sz w:val="18"/>
                                  <w:szCs w:val="18"/>
                                </w:rPr>
                                <w:t>Yearly average</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24" name="Straight Arrow Connector 24"/>
                        <wps:cNvCnPr/>
                        <wps:spPr>
                          <a:xfrm flipH="1" flipV="1">
                            <a:off x="266700" y="0"/>
                            <a:ext cx="666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7B23F1" id="Group 25" o:spid="_x0000_s1026" style="position:absolute;margin-left:246.75pt;margin-top:66.35pt;width:54.05pt;height:32.25pt;z-index:251661312" coordsize="6864,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">
                <v:shapetype id="_x0000_t202" coordsize="21600,21600" o:spt="202" path="m,l,21600r21600,l21600,xe">
                  <v:stroke joinstyle="miter"/>
                  <v:path gradientshapeok="t" o:connecttype="rect"/>
                </v:shapetype>
                <v:shape id="Text Box 23" o:spid="_x0000_s1027" type="#_x0000_t202" style="position:absolute;top:2381;width:686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b5sUA&#10;AADbAAAADwAAAGRycy9kb3ducmV2LnhtbESPQWsCMRSE70L/Q3iFXkSz1SJlaxQpFRTpwbVKj4/N&#10;62bp5mVJorv9940geBxm5htmvuxtIy7kQ+1YwfM4A0FcOl1zpeDrsB69gggRWWPjmBT8UYDl4mEw&#10;x1y7jvd0KWIlEoRDjgpMjG0uZSgNWQxj1xIn78d5izFJX0ntsUtw28hJls2kxZrTgsGW3g2Vv8XZ&#10;KiDcm6E8zj52/lStV8eX789t55R6euxXbyAi9fEevrU3WsFkCtcv6Qf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khvmxQAAANsAAAAPAAAAAAAAAAAAAAAAAJgCAABkcnMv&#10;ZG93bnJldi54bWxQSwUGAAAAAAQABAD1AAAAigMAAAAA&#10;" fillcolor="white [3201]" stroked="f" strokeweight=".5pt">
                  <v:textbox inset="0,0,0,0">
                    <w:txbxContent>
                      <w:p w14:paraId="4344A324" w14:textId="63997F5F" w:rsidR="008A4C54" w:rsidRPr="00AA5298" w:rsidRDefault="008A4C54">
                        <w:pPr>
                          <w:rPr>
                            <w:sz w:val="18"/>
                            <w:szCs w:val="18"/>
                          </w:rPr>
                        </w:pPr>
                        <w:r w:rsidRPr="00AA5298">
                          <w:rPr>
                            <w:sz w:val="18"/>
                            <w:szCs w:val="18"/>
                          </w:rPr>
                          <w:t>Yearly average</w:t>
                        </w:r>
                      </w:p>
                    </w:txbxContent>
                  </v:textbox>
                </v:shape>
                <v:shapetype id="_x0000_t32" coordsize="21600,21600" o:spt="32" o:oned="t" path="m,l21600,21600e" filled="f">
                  <v:path arrowok="t" fillok="f" o:connecttype="none"/>
                  <o:lock v:ext="edit" shapetype="t"/>
                </v:shapetype>
                <v:shape id="Straight Arrow Connector 24" o:spid="_x0000_s1028" type="#_x0000_t32" style="position:absolute;left:2667;width:666;height:23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oYlMIAAADbAAAADwAAAGRycy9kb3ducmV2LnhtbESP0YrCMBRE3xf8h3AF39ZUUZGuUVSQ&#10;+iK66gdcmmtbbG5Kkmr9e7Ow4OMwM2eYxaoztXiQ85VlBaNhAoI4t7riQsH1svueg/ABWWNtmRS8&#10;yMNq2ftaYKrtk3/pcQ6FiBD2KSooQ2hSKX1ekkE/tA1x9G7WGQxRukJqh88IN7UcJ8lMGqw4LpTY&#10;0Lak/H5ujYI2m12bzdRdjqdscjgesu28dS+lBv1u/QMiUBc+4f/2XisYT+DvS/wBcvk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hoYlMIAAADbAAAADwAAAAAAAAAAAAAA&#10;AAChAgAAZHJzL2Rvd25yZXYueG1sUEsFBgAAAAAEAAQA+QAAAJADAAAAAA==&#10;" strokecolor="#5b9bd5 [3204]" strokeweight=".5pt">
                  <v:stroke endarrow="block" joinstyle="miter"/>
                </v:shape>
              </v:group>
            </w:pict>
          </mc:Fallback>
        </mc:AlternateContent>
      </w:r>
      <w:r w:rsidR="005C0FDA">
        <w:t xml:space="preserve">Figure </w:t>
      </w:r>
      <w:r w:rsidR="004D0C3D">
        <w:fldChar w:fldCharType="begin"/>
      </w:r>
      <w:r w:rsidR="004D0C3D">
        <w:instrText xml:space="preserve"> SEQ Figure \* ARABIC </w:instrText>
      </w:r>
      <w:r w:rsidR="004D0C3D">
        <w:fldChar w:fldCharType="separate"/>
      </w:r>
      <w:r w:rsidR="005C0FDA">
        <w:rPr>
          <w:noProof/>
        </w:rPr>
        <w:t>3</w:t>
      </w:r>
      <w:r w:rsidR="004D0C3D">
        <w:rPr>
          <w:noProof/>
        </w:rPr>
        <w:fldChar w:fldCharType="end"/>
      </w:r>
      <w:bookmarkEnd w:id="8"/>
      <w:r w:rsidR="005C0FDA">
        <w:t xml:space="preserve"> </w:t>
      </w:r>
      <w:r w:rsidR="004E3599">
        <w:t xml:space="preserve">- </w:t>
      </w:r>
      <w:r w:rsidR="005C0FDA">
        <w:t>Normalized seasonal index in Afghanistan</w:t>
      </w:r>
      <w:r>
        <w:rPr>
          <w:noProof/>
        </w:rPr>
        <w:drawing>
          <wp:inline distT="0" distB="0" distL="0" distR="0" wp14:anchorId="30E36A02" wp14:editId="3FB1331C">
            <wp:extent cx="3886200" cy="1914525"/>
            <wp:effectExtent l="0" t="0" r="0"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B52D33A" w14:textId="5980892D" w:rsidR="00441EAB" w:rsidRDefault="003E583E" w:rsidP="001115CB">
      <w:pPr>
        <w:jc w:val="both"/>
      </w:pPr>
      <w:r>
        <w:lastRenderedPageBreak/>
        <w:t>The Log CMA procedure described above identifies</w:t>
      </w:r>
      <w:r w:rsidR="00610DCD">
        <w:t xml:space="preserve"> a </w:t>
      </w:r>
      <w:r w:rsidR="00610DCD" w:rsidRPr="00610DCD">
        <w:rPr>
          <w:i/>
        </w:rPr>
        <w:t xml:space="preserve">c x 12 </w:t>
      </w:r>
      <w:r w:rsidR="00610DCD">
        <w:t xml:space="preserve">matrix </w:t>
      </w:r>
      <w:r>
        <w:t>containing</w:t>
      </w:r>
      <w:r w:rsidR="00610DCD">
        <w:t xml:space="preserve"> </w:t>
      </w:r>
      <w:r w:rsidR="00CF7E34">
        <w:t>a</w:t>
      </w:r>
      <w:r w:rsidR="00610DCD">
        <w:t xml:space="preserve"> value for each month-country combination</w:t>
      </w:r>
      <w:r w:rsidR="007F525D">
        <w:t xml:space="preserve"> (</w:t>
      </w:r>
      <w:r w:rsidR="007F525D">
        <w:fldChar w:fldCharType="begin"/>
      </w:r>
      <w:r w:rsidR="007F525D">
        <w:instrText xml:space="preserve"> REF _Ref459900906 \h </w:instrText>
      </w:r>
      <w:r w:rsidR="007F525D">
        <w:fldChar w:fldCharType="separate"/>
      </w:r>
      <w:r w:rsidR="007F525D">
        <w:t xml:space="preserve">Table </w:t>
      </w:r>
      <w:r w:rsidR="007F525D">
        <w:rPr>
          <w:noProof/>
        </w:rPr>
        <w:t>4</w:t>
      </w:r>
      <w:r w:rsidR="007F525D">
        <w:fldChar w:fldCharType="end"/>
      </w:r>
      <w:r w:rsidR="007F525D">
        <w:t>)</w:t>
      </w:r>
      <w:r w:rsidR="00610DCD">
        <w:t>.</w:t>
      </w:r>
      <w:r w:rsidR="00375E11">
        <w:t xml:space="preserve"> </w:t>
      </w:r>
    </w:p>
    <w:p w14:paraId="2DF0E33C" w14:textId="5B3FFB43" w:rsidR="004A08E3" w:rsidRDefault="007F525D" w:rsidP="00F2268B">
      <w:pPr>
        <w:pStyle w:val="Caption"/>
        <w:spacing w:after="0"/>
        <w:rPr>
          <w:rFonts w:eastAsiaTheme="minorEastAsia"/>
        </w:rPr>
      </w:pPr>
      <w:bookmarkStart w:id="9" w:name="_Ref459900906"/>
      <w:r>
        <w:t xml:space="preserve">Table </w:t>
      </w:r>
      <w:r w:rsidR="004D0C3D">
        <w:fldChar w:fldCharType="begin"/>
      </w:r>
      <w:r w:rsidR="004D0C3D">
        <w:instrText xml:space="preserve"> SEQ Table \* ARABIC </w:instrText>
      </w:r>
      <w:r w:rsidR="004D0C3D">
        <w:fldChar w:fldCharType="separate"/>
      </w:r>
      <w:r w:rsidR="00A53470">
        <w:rPr>
          <w:noProof/>
        </w:rPr>
        <w:t>4</w:t>
      </w:r>
      <w:r w:rsidR="004D0C3D">
        <w:rPr>
          <w:noProof/>
        </w:rPr>
        <w:fldChar w:fldCharType="end"/>
      </w:r>
      <w:bookmarkEnd w:id="9"/>
      <w:r>
        <w:t xml:space="preserve"> </w:t>
      </w:r>
      <w:r w:rsidR="004E3599">
        <w:t xml:space="preserve">- </w:t>
      </w:r>
      <w:r>
        <w:t>The</w:t>
      </w:r>
      <w:r w:rsidR="00B91976">
        <w:t xml:space="preserve"> normalized</w:t>
      </w:r>
      <w:r>
        <w:t xml:space="preserve"> </w:t>
      </w:r>
      <w:r w:rsidR="00B91976">
        <w:t>s</w:t>
      </w:r>
      <w:r>
        <w:t xml:space="preserve">easonal </w:t>
      </w:r>
      <w:r w:rsidR="00B91976">
        <w:t>i</w:t>
      </w:r>
      <w:r>
        <w:t xml:space="preserve">ndex </w:t>
      </w:r>
      <w:r w:rsidR="00B91976">
        <w:t>by country and month</w:t>
      </w:r>
      <w:r w:rsidR="000F61DF">
        <w:t xml:space="preserve"> </w:t>
      </w:r>
      <w:r w:rsidR="000F61DF">
        <w:rPr>
          <w:rFonts w:eastAsiaTheme="minorEastAsia"/>
          <w:i w:val="0"/>
        </w:rPr>
        <w:t>(</w:t>
      </w:r>
      <m:oMath>
        <m:sSub>
          <m:sSubPr>
            <m:ctrlPr>
              <w:rPr>
                <w:rFonts w:ascii="Cambria Math" w:hAnsi="Cambria Math"/>
              </w:rPr>
            </m:ctrlPr>
          </m:sSubPr>
          <m:e>
            <m:r>
              <w:rPr>
                <w:rFonts w:ascii="Cambria Math" w:hAnsi="Cambria Math"/>
              </w:rPr>
              <m:t>SI</m:t>
            </m:r>
          </m:e>
          <m:sub>
            <m:r>
              <w:rPr>
                <w:rFonts w:ascii="Cambria Math" w:hAnsi="Cambria Math"/>
              </w:rPr>
              <m:t>cm</m:t>
            </m:r>
          </m:sub>
        </m:sSub>
      </m:oMath>
      <w:r w:rsidR="000F61DF">
        <w:rPr>
          <w:rFonts w:eastAsiaTheme="minorEastAsia"/>
          <w:i w:val="0"/>
        </w:rPr>
        <w:t>)</w:t>
      </w:r>
      <w:r w:rsidR="000F61DF">
        <w:rPr>
          <w:rFonts w:eastAsiaTheme="minorEastAsia"/>
        </w:rPr>
        <w:t xml:space="preserve"> </w:t>
      </w:r>
    </w:p>
    <w:p w14:paraId="669AA863" w14:textId="79A4F12F" w:rsidR="00F2268B" w:rsidRPr="00F35723" w:rsidRDefault="005D7CAD" w:rsidP="00F2268B">
      <w:pPr>
        <w:rPr>
          <w:i/>
          <w:sz w:val="20"/>
          <w:szCs w:val="20"/>
        </w:rPr>
      </w:pPr>
      <w:r w:rsidRPr="005D7CAD">
        <w:rPr>
          <w:noProof/>
        </w:rPr>
        <w:drawing>
          <wp:inline distT="0" distB="0" distL="0" distR="0" wp14:anchorId="08C313A4" wp14:editId="3FD0F4DA">
            <wp:extent cx="5943600" cy="1923162"/>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23162"/>
                    </a:xfrm>
                    <a:prstGeom prst="rect">
                      <a:avLst/>
                    </a:prstGeom>
                    <a:noFill/>
                    <a:ln>
                      <a:noFill/>
                    </a:ln>
                  </pic:spPr>
                </pic:pic>
              </a:graphicData>
            </a:graphic>
          </wp:inline>
        </w:drawing>
      </w:r>
      <w:r w:rsidR="00F2268B" w:rsidRPr="00F2268B">
        <w:rPr>
          <w:i/>
          <w:sz w:val="20"/>
          <w:szCs w:val="20"/>
        </w:rPr>
        <w:t>Note: extracted on August 11, 2016</w:t>
      </w:r>
    </w:p>
    <w:p w14:paraId="038F1F75" w14:textId="66D4121F" w:rsidR="00DB2348" w:rsidRPr="005951FD" w:rsidRDefault="00DB2348" w:rsidP="00CF43B4">
      <w:pPr>
        <w:pStyle w:val="Heading1"/>
      </w:pPr>
      <w:bookmarkStart w:id="10" w:name="_Toc460226856"/>
      <w:r>
        <w:t xml:space="preserve">The </w:t>
      </w:r>
      <w:r w:rsidR="008C7D7E">
        <w:t>S</w:t>
      </w:r>
      <w:r w:rsidR="006544F8">
        <w:t xml:space="preserve">easonal </w:t>
      </w:r>
      <w:r w:rsidR="008C7D7E">
        <w:t>F</w:t>
      </w:r>
      <w:r w:rsidR="006544F8">
        <w:t xml:space="preserve">ood </w:t>
      </w:r>
      <w:r w:rsidR="008C7D7E">
        <w:t>E</w:t>
      </w:r>
      <w:r w:rsidR="006544F8">
        <w:t>xpenditure Score</w:t>
      </w:r>
      <w:bookmarkEnd w:id="10"/>
    </w:p>
    <w:p w14:paraId="5E0E712C" w14:textId="47573A97" w:rsidR="00714FDD" w:rsidRDefault="00714FDD" w:rsidP="001115CB">
      <w:pPr>
        <w:jc w:val="both"/>
      </w:pPr>
      <w:r w:rsidRPr="00C84BA0">
        <w:t xml:space="preserve">The </w:t>
      </w:r>
      <w:r>
        <w:t xml:space="preserve">Seasonal Food </w:t>
      </w:r>
      <w:r w:rsidR="008C7D7E">
        <w:t>Expenditure Score</w:t>
      </w:r>
      <w:r>
        <w:t xml:space="preserve"> (</w:t>
      </w:r>
      <w:r w:rsidR="008C7D7E">
        <w:t>SFE</w:t>
      </w:r>
      <w:r w:rsidRPr="00C84BA0">
        <w:t xml:space="preserve">) is a </w:t>
      </w:r>
      <w:r>
        <w:t>monthly</w:t>
      </w:r>
      <w:r w:rsidRPr="00C84BA0">
        <w:t xml:space="preserve"> indicator that </w:t>
      </w:r>
      <w:r>
        <w:t>scores months based on the cost of the country food basket with the aim to detect</w:t>
      </w:r>
      <w:r w:rsidRPr="00C84BA0">
        <w:t xml:space="preserve"> </w:t>
      </w:r>
      <w:r>
        <w:t>potential threats to</w:t>
      </w:r>
      <w:r w:rsidRPr="00C84BA0">
        <w:t xml:space="preserve"> household</w:t>
      </w:r>
      <w:r>
        <w:t>s’</w:t>
      </w:r>
      <w:r w:rsidRPr="00C84BA0">
        <w:t xml:space="preserve"> </w:t>
      </w:r>
      <w:r>
        <w:t xml:space="preserve">food </w:t>
      </w:r>
      <w:r w:rsidRPr="00C84BA0">
        <w:t xml:space="preserve">security </w:t>
      </w:r>
      <w:r>
        <w:t>due to high seasonal food prices.</w:t>
      </w:r>
    </w:p>
    <w:p w14:paraId="137E3CC7" w14:textId="720C5E6B" w:rsidR="00610DCD" w:rsidRDefault="00592F85" w:rsidP="001115CB">
      <w:pPr>
        <w:jc w:val="both"/>
      </w:pPr>
      <w:r w:rsidRPr="005951FD">
        <w:t xml:space="preserve">The </w:t>
      </w:r>
      <w:r w:rsidR="008C7D7E">
        <w:t>SFE</w:t>
      </w:r>
      <w:r w:rsidRPr="005951FD">
        <w:t xml:space="preserve"> is obtained from the seasonal index of the cost of a country-specific food basket. </w:t>
      </w:r>
      <w:r>
        <w:t xml:space="preserve">Thus, once </w:t>
      </w:r>
      <w:r>
        <w:fldChar w:fldCharType="begin"/>
      </w:r>
      <w:r>
        <w:instrText xml:space="preserve"> REF _Ref459900906 \h </w:instrText>
      </w:r>
      <w:r>
        <w:fldChar w:fldCharType="separate"/>
      </w:r>
      <w:r>
        <w:t xml:space="preserve">Table </w:t>
      </w:r>
      <w:r>
        <w:rPr>
          <w:noProof/>
        </w:rPr>
        <w:t>4</w:t>
      </w:r>
      <w:r>
        <w:fldChar w:fldCharType="end"/>
      </w:r>
      <w:r>
        <w:t xml:space="preserve"> has been filled, t</w:t>
      </w:r>
      <w:r w:rsidR="00B91976">
        <w:t>he</w:t>
      </w:r>
      <w:r>
        <w:t xml:space="preserve"> </w:t>
      </w:r>
      <w:r w:rsidR="008C7D7E">
        <w:t>SFE</w:t>
      </w:r>
      <w:r w:rsidR="002E6F52" w:rsidRPr="00375E11">
        <w:rPr>
          <w:b/>
        </w:rPr>
        <w:t xml:space="preserve"> </w:t>
      </w:r>
      <w:r w:rsidR="002E6F52">
        <w:t xml:space="preserve">can be </w:t>
      </w:r>
      <w:r w:rsidR="00A17E83">
        <w:t>computed</w:t>
      </w:r>
      <w:r w:rsidR="002E6F52">
        <w:rPr>
          <w:b/>
        </w:rPr>
        <w:t xml:space="preserve">. </w:t>
      </w:r>
      <w:r w:rsidR="00375E11">
        <w:t xml:space="preserve">The new </w:t>
      </w:r>
      <w:r w:rsidR="00375E11" w:rsidRPr="00610DCD">
        <w:rPr>
          <w:i/>
        </w:rPr>
        <w:t xml:space="preserve">c x 12 </w:t>
      </w:r>
      <w:r w:rsidR="00375E11">
        <w:t xml:space="preserve">matrix containing the </w:t>
      </w:r>
      <w:r w:rsidR="008C7D7E">
        <w:t>SFE</w:t>
      </w:r>
      <w:r w:rsidR="00375E11">
        <w:t xml:space="preserve"> </w:t>
      </w:r>
      <w:r w:rsidR="003F26B7">
        <w:t>(</w:t>
      </w:r>
      <w:r w:rsidR="003F26B7">
        <w:fldChar w:fldCharType="begin"/>
      </w:r>
      <w:r w:rsidR="003F26B7">
        <w:instrText xml:space="preserve"> REF _Ref459975690 \h </w:instrText>
      </w:r>
      <w:r w:rsidR="003F26B7">
        <w:fldChar w:fldCharType="separate"/>
      </w:r>
      <w:r w:rsidR="003F26B7">
        <w:t xml:space="preserve">Table </w:t>
      </w:r>
      <w:r w:rsidR="003F26B7">
        <w:rPr>
          <w:noProof/>
        </w:rPr>
        <w:t>5</w:t>
      </w:r>
      <w:r w:rsidR="003F26B7">
        <w:fldChar w:fldCharType="end"/>
      </w:r>
      <w:r w:rsidR="003F26B7">
        <w:t xml:space="preserve">) </w:t>
      </w:r>
      <w:r w:rsidR="00375E11">
        <w:t xml:space="preserve">is derived by </w:t>
      </w:r>
      <w:r w:rsidR="00A17E83">
        <w:t>assigning to each month-count</w:t>
      </w:r>
      <w:r w:rsidR="00782A1F">
        <w:t>ry combination a score between 1</w:t>
      </w:r>
      <w:r w:rsidR="00A17E83">
        <w:t xml:space="preserve"> and 5. The sco</w:t>
      </w:r>
      <w:r w:rsidR="003E583E">
        <w:t>re is based on the value of the</w:t>
      </w:r>
      <w:r w:rsidR="008E636A">
        <w:rPr>
          <w:rFonts w:eastAsiaTheme="minorEastAsia"/>
        </w:rPr>
        <w:t xml:space="preserve"> </w:t>
      </w:r>
      <m:oMath>
        <m:sSub>
          <m:sSubPr>
            <m:ctrlPr>
              <w:rPr>
                <w:rFonts w:ascii="Cambria Math" w:hAnsi="Cambria Math"/>
                <w:i/>
                <w:iCs/>
              </w:rPr>
            </m:ctrlPr>
          </m:sSubPr>
          <m:e>
            <m:r>
              <w:rPr>
                <w:rFonts w:ascii="Cambria Math" w:hAnsi="Cambria Math"/>
              </w:rPr>
              <m:t>SI</m:t>
            </m:r>
          </m:e>
          <m:sub>
            <m:r>
              <w:rPr>
                <w:rFonts w:ascii="Cambria Math" w:hAnsi="Cambria Math"/>
              </w:rPr>
              <m:t>cm</m:t>
            </m:r>
          </m:sub>
        </m:sSub>
      </m:oMath>
      <w:r w:rsidR="00A33818">
        <w:rPr>
          <w:rFonts w:eastAsiaTheme="minorEastAsia"/>
          <w:iCs/>
        </w:rPr>
        <w:t xml:space="preserve"> </w:t>
      </w:r>
      <w:r w:rsidR="008E636A">
        <w:t>and the following rule:</w:t>
      </w:r>
      <w:r w:rsidR="006659B4">
        <w:t xml:space="preserve"> </w:t>
      </w:r>
    </w:p>
    <w:tbl>
      <w:tblPr>
        <w:tblStyle w:val="TableGrid"/>
        <w:tblW w:w="0" w:type="auto"/>
        <w:tblInd w:w="2250" w:type="dxa"/>
        <w:tblLook w:val="04A0" w:firstRow="1" w:lastRow="0" w:firstColumn="1" w:lastColumn="0" w:noHBand="0" w:noVBand="1"/>
      </w:tblPr>
      <w:tblGrid>
        <w:gridCol w:w="870"/>
        <w:gridCol w:w="2424"/>
        <w:gridCol w:w="2700"/>
      </w:tblGrid>
      <w:tr w:rsidR="006659B4" w:rsidRPr="009B3A4E" w14:paraId="1B2F892B" w14:textId="77777777" w:rsidTr="00730D54">
        <w:tc>
          <w:tcPr>
            <w:tcW w:w="87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6CEE5690" w14:textId="121C4884" w:rsidR="006659B4" w:rsidRPr="00730D54" w:rsidRDefault="008C7D7E" w:rsidP="006C3FA1">
            <w:pPr>
              <w:pStyle w:val="ListParagraph"/>
              <w:ind w:left="0"/>
              <w:jc w:val="center"/>
              <w:rPr>
                <w:b/>
                <w:sz w:val="20"/>
                <w:szCs w:val="20"/>
              </w:rPr>
            </w:pPr>
            <w:r>
              <w:rPr>
                <w:b/>
                <w:sz w:val="20"/>
                <w:szCs w:val="20"/>
              </w:rPr>
              <w:t>SFE</w:t>
            </w:r>
          </w:p>
        </w:tc>
        <w:tc>
          <w:tcPr>
            <w:tcW w:w="242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0E7BBBF7" w14:textId="77777777" w:rsidR="006659B4" w:rsidRPr="00730D54" w:rsidRDefault="006659B4" w:rsidP="006659B4">
            <w:pPr>
              <w:pStyle w:val="ListParagraph"/>
              <w:ind w:left="0"/>
              <w:jc w:val="center"/>
              <w:rPr>
                <w:b/>
                <w:sz w:val="20"/>
                <w:szCs w:val="20"/>
              </w:rPr>
            </w:pPr>
          </w:p>
        </w:tc>
        <w:tc>
          <w:tcPr>
            <w:tcW w:w="2700" w:type="dxa"/>
            <w:tcBorders>
              <w:top w:val="nil"/>
              <w:left w:val="single" w:sz="12" w:space="0" w:color="5B9BD5" w:themeColor="accent1"/>
              <w:bottom w:val="nil"/>
              <w:right w:val="nil"/>
            </w:tcBorders>
          </w:tcPr>
          <w:p w14:paraId="3BE6AAB4" w14:textId="77777777" w:rsidR="006659B4" w:rsidRPr="00730D54" w:rsidRDefault="006659B4" w:rsidP="001F240F">
            <w:pPr>
              <w:pStyle w:val="ListParagraph"/>
              <w:ind w:left="0"/>
              <w:rPr>
                <w:b/>
                <w:sz w:val="20"/>
                <w:szCs w:val="20"/>
              </w:rPr>
            </w:pPr>
          </w:p>
        </w:tc>
      </w:tr>
      <w:tr w:rsidR="006659B4" w:rsidRPr="00D95E6F" w14:paraId="18F06E89" w14:textId="77777777" w:rsidTr="00730D54">
        <w:trPr>
          <w:trHeight w:val="426"/>
        </w:trPr>
        <w:tc>
          <w:tcPr>
            <w:tcW w:w="870" w:type="dxa"/>
            <w:tcBorders>
              <w:top w:val="single" w:sz="12" w:space="0" w:color="5B9BD5" w:themeColor="accent1"/>
              <w:left w:val="single" w:sz="12" w:space="0" w:color="5B9BD5" w:themeColor="accent1"/>
              <w:bottom w:val="nil"/>
              <w:right w:val="single" w:sz="12" w:space="0" w:color="5B9BD5" w:themeColor="accent1"/>
            </w:tcBorders>
            <w:vAlign w:val="center"/>
          </w:tcPr>
          <w:p w14:paraId="09ADFEEE" w14:textId="0349C58C" w:rsidR="006659B4" w:rsidRPr="00D95E6F" w:rsidRDefault="00674FAC" w:rsidP="006659B4">
            <w:pPr>
              <w:pStyle w:val="ListParagraph"/>
              <w:ind w:left="0"/>
              <w:jc w:val="center"/>
              <w:rPr>
                <w:b/>
                <w:sz w:val="20"/>
                <w:szCs w:val="20"/>
              </w:rPr>
            </w:pPr>
            <w:r w:rsidRPr="00D95E6F">
              <w:rPr>
                <w:b/>
                <w:sz w:val="20"/>
                <w:szCs w:val="20"/>
              </w:rPr>
              <w:t>1</w:t>
            </w:r>
          </w:p>
        </w:tc>
        <w:tc>
          <w:tcPr>
            <w:tcW w:w="2424" w:type="dxa"/>
            <w:tcBorders>
              <w:top w:val="single" w:sz="12" w:space="0" w:color="5B9BD5" w:themeColor="accent1"/>
              <w:left w:val="single" w:sz="12" w:space="0" w:color="5B9BD5" w:themeColor="accent1"/>
              <w:bottom w:val="nil"/>
              <w:right w:val="single" w:sz="12" w:space="0" w:color="5B9BD5" w:themeColor="accent1"/>
            </w:tcBorders>
            <w:vAlign w:val="center"/>
          </w:tcPr>
          <w:p w14:paraId="7319AECC" w14:textId="75BD03C6" w:rsidR="006659B4" w:rsidRPr="00D95E6F" w:rsidRDefault="004D0C3D" w:rsidP="006659B4">
            <w:pPr>
              <w:pStyle w:val="ListParagraph"/>
              <w:ind w:left="0"/>
              <w:jc w:val="center"/>
              <w:rPr>
                <w:sz w:val="20"/>
                <w:szCs w:val="20"/>
              </w:rPr>
            </w:pPr>
            <m:oMath>
              <m:sSub>
                <m:sSubPr>
                  <m:ctrlPr>
                    <w:rPr>
                      <w:rFonts w:ascii="Cambria Math" w:hAnsi="Cambria Math"/>
                      <w:i/>
                      <w:iCs/>
                      <w:sz w:val="20"/>
                      <w:szCs w:val="20"/>
                    </w:rPr>
                  </m:ctrlPr>
                </m:sSubPr>
                <m:e>
                  <m:r>
                    <w:rPr>
                      <w:rFonts w:ascii="Cambria Math" w:hAnsi="Cambria Math"/>
                      <w:sz w:val="20"/>
                      <w:szCs w:val="20"/>
                    </w:rPr>
                    <m:t>SI</m:t>
                  </m:r>
                </m:e>
                <m:sub>
                  <m:r>
                    <w:rPr>
                      <w:rFonts w:ascii="Cambria Math" w:hAnsi="Cambria Math"/>
                      <w:sz w:val="20"/>
                      <w:szCs w:val="20"/>
                    </w:rPr>
                    <m:t>cm</m:t>
                  </m:r>
                </m:sub>
              </m:sSub>
            </m:oMath>
            <w:r w:rsidR="00726E9E">
              <w:rPr>
                <w:rFonts w:eastAsiaTheme="minorEastAsia"/>
                <w:iCs/>
                <w:sz w:val="20"/>
                <w:szCs w:val="20"/>
              </w:rPr>
              <w:t xml:space="preserve"> </w:t>
            </w:r>
            <w:r w:rsidR="00074739">
              <w:rPr>
                <w:sz w:val="20"/>
                <w:szCs w:val="20"/>
              </w:rPr>
              <w:t xml:space="preserve">≤ </w:t>
            </w:r>
            <w:r w:rsidR="006659B4" w:rsidRPr="00D95E6F">
              <w:rPr>
                <w:sz w:val="20"/>
                <w:szCs w:val="20"/>
              </w:rPr>
              <w:t>1</w:t>
            </w:r>
          </w:p>
        </w:tc>
        <w:tc>
          <w:tcPr>
            <w:tcW w:w="2700" w:type="dxa"/>
            <w:tcBorders>
              <w:top w:val="nil"/>
              <w:left w:val="single" w:sz="12" w:space="0" w:color="5B9BD5" w:themeColor="accent1"/>
              <w:bottom w:val="nil"/>
              <w:right w:val="nil"/>
            </w:tcBorders>
            <w:vAlign w:val="center"/>
          </w:tcPr>
          <w:p w14:paraId="3B53CD1C" w14:textId="77777777" w:rsidR="006659B4" w:rsidRPr="00D95E6F" w:rsidRDefault="006659B4" w:rsidP="006659B4">
            <w:pPr>
              <w:pStyle w:val="ListParagraph"/>
              <w:ind w:left="0"/>
              <w:jc w:val="center"/>
              <w:rPr>
                <w:sz w:val="20"/>
                <w:szCs w:val="20"/>
              </w:rPr>
            </w:pPr>
          </w:p>
        </w:tc>
      </w:tr>
      <w:tr w:rsidR="006659B4" w:rsidRPr="00D95E6F" w14:paraId="6798B872" w14:textId="77777777" w:rsidTr="00730D54">
        <w:trPr>
          <w:trHeight w:val="426"/>
        </w:trPr>
        <w:tc>
          <w:tcPr>
            <w:tcW w:w="870" w:type="dxa"/>
            <w:tcBorders>
              <w:top w:val="nil"/>
              <w:left w:val="single" w:sz="12" w:space="0" w:color="5B9BD5" w:themeColor="accent1"/>
              <w:bottom w:val="nil"/>
              <w:right w:val="single" w:sz="12" w:space="0" w:color="5B9BD5" w:themeColor="accent1"/>
            </w:tcBorders>
            <w:vAlign w:val="center"/>
          </w:tcPr>
          <w:p w14:paraId="5ACD3C8F" w14:textId="7E276529" w:rsidR="006659B4" w:rsidRPr="00D95E6F" w:rsidRDefault="00674FAC" w:rsidP="006659B4">
            <w:pPr>
              <w:pStyle w:val="ListParagraph"/>
              <w:ind w:left="0"/>
              <w:jc w:val="center"/>
              <w:rPr>
                <w:b/>
                <w:sz w:val="20"/>
                <w:szCs w:val="20"/>
              </w:rPr>
            </w:pPr>
            <w:r w:rsidRPr="00D95E6F">
              <w:rPr>
                <w:b/>
                <w:sz w:val="20"/>
                <w:szCs w:val="20"/>
              </w:rPr>
              <w:t>2</w:t>
            </w:r>
          </w:p>
        </w:tc>
        <w:tc>
          <w:tcPr>
            <w:tcW w:w="2424" w:type="dxa"/>
            <w:tcBorders>
              <w:top w:val="nil"/>
              <w:left w:val="single" w:sz="12" w:space="0" w:color="5B9BD5" w:themeColor="accent1"/>
              <w:bottom w:val="nil"/>
              <w:right w:val="single" w:sz="12" w:space="0" w:color="5B9BD5" w:themeColor="accent1"/>
            </w:tcBorders>
            <w:vAlign w:val="center"/>
          </w:tcPr>
          <w:p w14:paraId="0E991C09" w14:textId="6F46B98A" w:rsidR="006659B4" w:rsidRPr="00D95E6F" w:rsidRDefault="009B3A4E" w:rsidP="00074739">
            <w:pPr>
              <w:pStyle w:val="ListParagraph"/>
              <w:ind w:left="0"/>
              <w:jc w:val="center"/>
              <w:rPr>
                <w:sz w:val="20"/>
                <w:szCs w:val="20"/>
              </w:rPr>
            </w:pPr>
            <w:r w:rsidRPr="00D95E6F">
              <w:rPr>
                <w:sz w:val="20"/>
                <w:szCs w:val="20"/>
              </w:rPr>
              <w:t xml:space="preserve">  </w:t>
            </w:r>
            <w:r w:rsidR="006659B4" w:rsidRPr="00D95E6F">
              <w:rPr>
                <w:sz w:val="20"/>
                <w:szCs w:val="20"/>
              </w:rPr>
              <w:t xml:space="preserve">1 &lt; </w:t>
            </w:r>
            <m:oMath>
              <m:sSub>
                <m:sSubPr>
                  <m:ctrlPr>
                    <w:rPr>
                      <w:rFonts w:ascii="Cambria Math" w:hAnsi="Cambria Math"/>
                      <w:i/>
                      <w:iCs/>
                      <w:sz w:val="20"/>
                      <w:szCs w:val="20"/>
                    </w:rPr>
                  </m:ctrlPr>
                </m:sSubPr>
                <m:e>
                  <m:r>
                    <w:rPr>
                      <w:rFonts w:ascii="Cambria Math" w:hAnsi="Cambria Math"/>
                      <w:sz w:val="20"/>
                      <w:szCs w:val="20"/>
                    </w:rPr>
                    <m:t>SI</m:t>
                  </m:r>
                </m:e>
                <m:sub>
                  <m:r>
                    <w:rPr>
                      <w:rFonts w:ascii="Cambria Math" w:hAnsi="Cambria Math"/>
                      <w:sz w:val="20"/>
                      <w:szCs w:val="20"/>
                    </w:rPr>
                    <m:t>cm</m:t>
                  </m:r>
                </m:sub>
              </m:sSub>
            </m:oMath>
            <w:r w:rsidR="00726E9E">
              <w:rPr>
                <w:rFonts w:eastAsiaTheme="minorEastAsia"/>
                <w:iCs/>
                <w:sz w:val="20"/>
                <w:szCs w:val="20"/>
              </w:rPr>
              <w:t xml:space="preserve"> </w:t>
            </w:r>
            <w:r w:rsidR="00074739">
              <w:rPr>
                <w:sz w:val="20"/>
                <w:szCs w:val="20"/>
              </w:rPr>
              <w:t>≤</w:t>
            </w:r>
            <w:r w:rsidR="006659B4" w:rsidRPr="00D95E6F">
              <w:rPr>
                <w:sz w:val="20"/>
                <w:szCs w:val="20"/>
              </w:rPr>
              <w:t xml:space="preserve"> 1+w</w:t>
            </w:r>
          </w:p>
        </w:tc>
        <w:tc>
          <w:tcPr>
            <w:tcW w:w="2700" w:type="dxa"/>
            <w:tcBorders>
              <w:top w:val="nil"/>
              <w:left w:val="single" w:sz="12" w:space="0" w:color="5B9BD5" w:themeColor="accent1"/>
              <w:bottom w:val="nil"/>
              <w:right w:val="nil"/>
            </w:tcBorders>
            <w:vAlign w:val="center"/>
          </w:tcPr>
          <w:p w14:paraId="22D52FD5" w14:textId="6B511237" w:rsidR="006659B4" w:rsidRPr="00D95E6F" w:rsidRDefault="006659B4" w:rsidP="00BE06A7">
            <w:pPr>
              <w:pStyle w:val="ListParagraph"/>
              <w:ind w:left="0"/>
              <w:jc w:val="center"/>
              <w:rPr>
                <w:sz w:val="20"/>
                <w:szCs w:val="20"/>
              </w:rPr>
            </w:pPr>
            <w:r w:rsidRPr="00D95E6F">
              <w:rPr>
                <w:sz w:val="20"/>
                <w:szCs w:val="20"/>
              </w:rPr>
              <w:t xml:space="preserve">  ,   where </w:t>
            </w:r>
            <m:oMath>
              <m:r>
                <w:rPr>
                  <w:rFonts w:ascii="Cambria Math" w:hAnsi="Cambria Math"/>
                  <w:sz w:val="24"/>
                  <w:szCs w:val="24"/>
                </w:rPr>
                <m:t>w=</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max</m:t>
                      </m:r>
                    </m:fName>
                    <m:e>
                      <m:d>
                        <m:dPr>
                          <m:ctrlPr>
                            <w:rPr>
                              <w:rFonts w:ascii="Cambria Math" w:hAnsi="Cambria Math"/>
                              <w:i/>
                              <w:sz w:val="24"/>
                              <w:szCs w:val="24"/>
                            </w:rPr>
                          </m:ctrlPr>
                        </m:dPr>
                        <m:e>
                          <m:r>
                            <w:rPr>
                              <w:rFonts w:ascii="Cambria Math" w:hAnsi="Cambria Math"/>
                              <w:sz w:val="24"/>
                              <w:szCs w:val="24"/>
                            </w:rPr>
                            <m:t>SI</m:t>
                          </m:r>
                        </m:e>
                      </m:d>
                    </m:e>
                  </m:func>
                  <m:r>
                    <w:rPr>
                      <w:rFonts w:ascii="Cambria Math" w:hAnsi="Cambria Math"/>
                      <w:sz w:val="24"/>
                      <w:szCs w:val="24"/>
                    </w:rPr>
                    <m:t>-1</m:t>
                  </m:r>
                </m:num>
                <m:den>
                  <m:r>
                    <w:rPr>
                      <w:rFonts w:ascii="Cambria Math" w:hAnsi="Cambria Math"/>
                      <w:sz w:val="24"/>
                      <w:szCs w:val="24"/>
                    </w:rPr>
                    <m:t>4</m:t>
                  </m:r>
                </m:den>
              </m:f>
            </m:oMath>
          </w:p>
        </w:tc>
      </w:tr>
      <w:tr w:rsidR="006659B4" w:rsidRPr="00D95E6F" w14:paraId="1BB6A7F7" w14:textId="77777777" w:rsidTr="00730D54">
        <w:trPr>
          <w:trHeight w:val="426"/>
        </w:trPr>
        <w:tc>
          <w:tcPr>
            <w:tcW w:w="870" w:type="dxa"/>
            <w:tcBorders>
              <w:top w:val="nil"/>
              <w:left w:val="single" w:sz="12" w:space="0" w:color="5B9BD5" w:themeColor="accent1"/>
              <w:bottom w:val="nil"/>
              <w:right w:val="single" w:sz="12" w:space="0" w:color="5B9BD5" w:themeColor="accent1"/>
            </w:tcBorders>
            <w:vAlign w:val="center"/>
          </w:tcPr>
          <w:p w14:paraId="68E8E4D9" w14:textId="46138E0E" w:rsidR="006659B4" w:rsidRPr="00D95E6F" w:rsidRDefault="00674FAC" w:rsidP="006659B4">
            <w:pPr>
              <w:pStyle w:val="ListParagraph"/>
              <w:ind w:left="0"/>
              <w:jc w:val="center"/>
              <w:rPr>
                <w:b/>
                <w:sz w:val="20"/>
                <w:szCs w:val="20"/>
              </w:rPr>
            </w:pPr>
            <w:r w:rsidRPr="00D95E6F">
              <w:rPr>
                <w:b/>
                <w:sz w:val="20"/>
                <w:szCs w:val="20"/>
              </w:rPr>
              <w:t>3</w:t>
            </w:r>
          </w:p>
        </w:tc>
        <w:tc>
          <w:tcPr>
            <w:tcW w:w="2424" w:type="dxa"/>
            <w:tcBorders>
              <w:top w:val="nil"/>
              <w:left w:val="single" w:sz="12" w:space="0" w:color="5B9BD5" w:themeColor="accent1"/>
              <w:bottom w:val="nil"/>
              <w:right w:val="single" w:sz="12" w:space="0" w:color="5B9BD5" w:themeColor="accent1"/>
            </w:tcBorders>
            <w:vAlign w:val="center"/>
          </w:tcPr>
          <w:p w14:paraId="49A04733" w14:textId="0748D1A8" w:rsidR="006659B4" w:rsidRPr="00D95E6F" w:rsidRDefault="006659B4" w:rsidP="006659B4">
            <w:pPr>
              <w:pStyle w:val="ListParagraph"/>
              <w:ind w:left="0"/>
              <w:jc w:val="center"/>
              <w:rPr>
                <w:sz w:val="20"/>
                <w:szCs w:val="20"/>
              </w:rPr>
            </w:pPr>
            <w:r w:rsidRPr="00D95E6F">
              <w:rPr>
                <w:sz w:val="20"/>
                <w:szCs w:val="20"/>
              </w:rPr>
              <w:t xml:space="preserve">1+w &lt; </w:t>
            </w:r>
            <m:oMath>
              <m:sSub>
                <m:sSubPr>
                  <m:ctrlPr>
                    <w:rPr>
                      <w:rFonts w:ascii="Cambria Math" w:hAnsi="Cambria Math"/>
                      <w:i/>
                      <w:iCs/>
                      <w:sz w:val="20"/>
                      <w:szCs w:val="20"/>
                    </w:rPr>
                  </m:ctrlPr>
                </m:sSubPr>
                <m:e>
                  <m:r>
                    <w:rPr>
                      <w:rFonts w:ascii="Cambria Math" w:hAnsi="Cambria Math"/>
                      <w:sz w:val="20"/>
                      <w:szCs w:val="20"/>
                    </w:rPr>
                    <m:t>SI</m:t>
                  </m:r>
                </m:e>
                <m:sub>
                  <m:r>
                    <w:rPr>
                      <w:rFonts w:ascii="Cambria Math" w:hAnsi="Cambria Math"/>
                      <w:sz w:val="20"/>
                      <w:szCs w:val="20"/>
                    </w:rPr>
                    <m:t>cm</m:t>
                  </m:r>
                </m:sub>
              </m:sSub>
            </m:oMath>
            <w:r w:rsidR="00726E9E">
              <w:rPr>
                <w:rFonts w:eastAsiaTheme="minorEastAsia"/>
                <w:iCs/>
                <w:sz w:val="20"/>
                <w:szCs w:val="20"/>
              </w:rPr>
              <w:t xml:space="preserve"> </w:t>
            </w:r>
            <w:r w:rsidR="00074739">
              <w:rPr>
                <w:sz w:val="20"/>
                <w:szCs w:val="20"/>
              </w:rPr>
              <w:t>≤</w:t>
            </w:r>
            <w:r w:rsidRPr="00D95E6F">
              <w:rPr>
                <w:sz w:val="20"/>
                <w:szCs w:val="20"/>
              </w:rPr>
              <w:t xml:space="preserve"> 1+2w</w:t>
            </w:r>
          </w:p>
        </w:tc>
        <w:tc>
          <w:tcPr>
            <w:tcW w:w="2700" w:type="dxa"/>
            <w:tcBorders>
              <w:top w:val="nil"/>
              <w:left w:val="single" w:sz="12" w:space="0" w:color="5B9BD5" w:themeColor="accent1"/>
              <w:bottom w:val="nil"/>
              <w:right w:val="nil"/>
            </w:tcBorders>
            <w:vAlign w:val="center"/>
          </w:tcPr>
          <w:p w14:paraId="24D85EB9" w14:textId="77777777" w:rsidR="006659B4" w:rsidRPr="00D95E6F" w:rsidRDefault="006659B4" w:rsidP="006659B4">
            <w:pPr>
              <w:pStyle w:val="ListParagraph"/>
              <w:ind w:left="0"/>
              <w:jc w:val="center"/>
              <w:rPr>
                <w:sz w:val="20"/>
                <w:szCs w:val="20"/>
              </w:rPr>
            </w:pPr>
          </w:p>
        </w:tc>
      </w:tr>
      <w:tr w:rsidR="006659B4" w:rsidRPr="00D95E6F" w14:paraId="2535655E" w14:textId="77777777" w:rsidTr="00730D54">
        <w:trPr>
          <w:trHeight w:val="426"/>
        </w:trPr>
        <w:tc>
          <w:tcPr>
            <w:tcW w:w="870" w:type="dxa"/>
            <w:tcBorders>
              <w:top w:val="nil"/>
              <w:left w:val="single" w:sz="12" w:space="0" w:color="5B9BD5" w:themeColor="accent1"/>
              <w:bottom w:val="nil"/>
              <w:right w:val="single" w:sz="12" w:space="0" w:color="5B9BD5" w:themeColor="accent1"/>
            </w:tcBorders>
            <w:vAlign w:val="center"/>
          </w:tcPr>
          <w:p w14:paraId="49567084" w14:textId="0C003D33" w:rsidR="006659B4" w:rsidRPr="00D95E6F" w:rsidRDefault="00674FAC" w:rsidP="006659B4">
            <w:pPr>
              <w:pStyle w:val="ListParagraph"/>
              <w:ind w:left="0"/>
              <w:jc w:val="center"/>
              <w:rPr>
                <w:b/>
                <w:sz w:val="20"/>
                <w:szCs w:val="20"/>
              </w:rPr>
            </w:pPr>
            <w:r w:rsidRPr="00D95E6F">
              <w:rPr>
                <w:b/>
                <w:sz w:val="20"/>
                <w:szCs w:val="20"/>
              </w:rPr>
              <w:t>4</w:t>
            </w:r>
          </w:p>
        </w:tc>
        <w:tc>
          <w:tcPr>
            <w:tcW w:w="2424" w:type="dxa"/>
            <w:tcBorders>
              <w:top w:val="nil"/>
              <w:left w:val="single" w:sz="12" w:space="0" w:color="5B9BD5" w:themeColor="accent1"/>
              <w:bottom w:val="nil"/>
              <w:right w:val="single" w:sz="12" w:space="0" w:color="5B9BD5" w:themeColor="accent1"/>
            </w:tcBorders>
            <w:vAlign w:val="center"/>
          </w:tcPr>
          <w:p w14:paraId="1427643A" w14:textId="0F9FCA83" w:rsidR="006659B4" w:rsidRPr="00D95E6F" w:rsidRDefault="006659B4" w:rsidP="006659B4">
            <w:pPr>
              <w:pStyle w:val="ListParagraph"/>
              <w:ind w:left="0"/>
              <w:jc w:val="center"/>
              <w:rPr>
                <w:sz w:val="20"/>
                <w:szCs w:val="20"/>
              </w:rPr>
            </w:pPr>
            <w:r w:rsidRPr="00D95E6F">
              <w:rPr>
                <w:sz w:val="20"/>
                <w:szCs w:val="20"/>
              </w:rPr>
              <w:t xml:space="preserve">1+2w &lt; </w:t>
            </w:r>
            <m:oMath>
              <m:sSub>
                <m:sSubPr>
                  <m:ctrlPr>
                    <w:rPr>
                      <w:rFonts w:ascii="Cambria Math" w:hAnsi="Cambria Math"/>
                      <w:i/>
                      <w:iCs/>
                      <w:sz w:val="20"/>
                      <w:szCs w:val="20"/>
                    </w:rPr>
                  </m:ctrlPr>
                </m:sSubPr>
                <m:e>
                  <m:r>
                    <w:rPr>
                      <w:rFonts w:ascii="Cambria Math" w:hAnsi="Cambria Math"/>
                      <w:sz w:val="20"/>
                      <w:szCs w:val="20"/>
                    </w:rPr>
                    <m:t>SI</m:t>
                  </m:r>
                </m:e>
                <m:sub>
                  <m:r>
                    <w:rPr>
                      <w:rFonts w:ascii="Cambria Math" w:hAnsi="Cambria Math"/>
                      <w:sz w:val="20"/>
                      <w:szCs w:val="20"/>
                    </w:rPr>
                    <m:t>cm</m:t>
                  </m:r>
                </m:sub>
              </m:sSub>
            </m:oMath>
            <w:r w:rsidR="00726E9E">
              <w:rPr>
                <w:rFonts w:eastAsiaTheme="minorEastAsia"/>
                <w:iCs/>
                <w:sz w:val="20"/>
                <w:szCs w:val="20"/>
              </w:rPr>
              <w:t xml:space="preserve"> </w:t>
            </w:r>
            <w:r w:rsidR="00074739">
              <w:rPr>
                <w:sz w:val="20"/>
                <w:szCs w:val="20"/>
              </w:rPr>
              <w:t>≤</w:t>
            </w:r>
            <w:r w:rsidRPr="00D95E6F">
              <w:rPr>
                <w:sz w:val="20"/>
                <w:szCs w:val="20"/>
              </w:rPr>
              <w:t xml:space="preserve"> 1+3w</w:t>
            </w:r>
          </w:p>
        </w:tc>
        <w:tc>
          <w:tcPr>
            <w:tcW w:w="2700" w:type="dxa"/>
            <w:tcBorders>
              <w:top w:val="nil"/>
              <w:left w:val="single" w:sz="12" w:space="0" w:color="5B9BD5" w:themeColor="accent1"/>
              <w:bottom w:val="nil"/>
              <w:right w:val="nil"/>
            </w:tcBorders>
            <w:vAlign w:val="center"/>
          </w:tcPr>
          <w:p w14:paraId="463CCA9B" w14:textId="77777777" w:rsidR="006659B4" w:rsidRPr="00D95E6F" w:rsidRDefault="006659B4" w:rsidP="006659B4">
            <w:pPr>
              <w:pStyle w:val="ListParagraph"/>
              <w:ind w:left="0"/>
              <w:jc w:val="center"/>
              <w:rPr>
                <w:sz w:val="20"/>
                <w:szCs w:val="20"/>
              </w:rPr>
            </w:pPr>
          </w:p>
        </w:tc>
      </w:tr>
      <w:tr w:rsidR="006659B4" w:rsidRPr="00D95E6F" w14:paraId="1E869B12" w14:textId="77777777" w:rsidTr="00730D54">
        <w:trPr>
          <w:trHeight w:val="426"/>
        </w:trPr>
        <w:tc>
          <w:tcPr>
            <w:tcW w:w="870" w:type="dxa"/>
            <w:tcBorders>
              <w:top w:val="nil"/>
              <w:left w:val="single" w:sz="12" w:space="0" w:color="5B9BD5" w:themeColor="accent1"/>
              <w:bottom w:val="single" w:sz="12" w:space="0" w:color="5B9BD5" w:themeColor="accent1"/>
              <w:right w:val="single" w:sz="12" w:space="0" w:color="5B9BD5" w:themeColor="accent1"/>
            </w:tcBorders>
            <w:vAlign w:val="center"/>
          </w:tcPr>
          <w:p w14:paraId="0C7E7E73" w14:textId="1343CED5" w:rsidR="006659B4" w:rsidRPr="00D95E6F" w:rsidRDefault="00674FAC" w:rsidP="006659B4">
            <w:pPr>
              <w:pStyle w:val="ListParagraph"/>
              <w:ind w:left="0"/>
              <w:jc w:val="center"/>
              <w:rPr>
                <w:b/>
                <w:sz w:val="20"/>
                <w:szCs w:val="20"/>
              </w:rPr>
            </w:pPr>
            <w:r w:rsidRPr="00D95E6F">
              <w:rPr>
                <w:b/>
                <w:sz w:val="20"/>
                <w:szCs w:val="20"/>
              </w:rPr>
              <w:t>5</w:t>
            </w:r>
          </w:p>
        </w:tc>
        <w:tc>
          <w:tcPr>
            <w:tcW w:w="2424" w:type="dxa"/>
            <w:tcBorders>
              <w:top w:val="nil"/>
              <w:left w:val="single" w:sz="12" w:space="0" w:color="5B9BD5" w:themeColor="accent1"/>
              <w:bottom w:val="single" w:sz="12" w:space="0" w:color="5B9BD5" w:themeColor="accent1"/>
              <w:right w:val="single" w:sz="12" w:space="0" w:color="5B9BD5" w:themeColor="accent1"/>
            </w:tcBorders>
            <w:vAlign w:val="center"/>
          </w:tcPr>
          <w:p w14:paraId="6BC5B733" w14:textId="0028CB13" w:rsidR="006659B4" w:rsidRPr="00D95E6F" w:rsidRDefault="006659B4" w:rsidP="006659B4">
            <w:pPr>
              <w:pStyle w:val="ListParagraph"/>
              <w:ind w:left="0"/>
              <w:jc w:val="center"/>
              <w:rPr>
                <w:sz w:val="20"/>
                <w:szCs w:val="20"/>
              </w:rPr>
            </w:pPr>
            <w:r w:rsidRPr="00D95E6F">
              <w:rPr>
                <w:sz w:val="20"/>
                <w:szCs w:val="20"/>
              </w:rPr>
              <w:t xml:space="preserve">1+3w &lt; </w:t>
            </w:r>
            <m:oMath>
              <m:sSub>
                <m:sSubPr>
                  <m:ctrlPr>
                    <w:rPr>
                      <w:rFonts w:ascii="Cambria Math" w:hAnsi="Cambria Math"/>
                      <w:i/>
                      <w:iCs/>
                      <w:sz w:val="20"/>
                      <w:szCs w:val="20"/>
                    </w:rPr>
                  </m:ctrlPr>
                </m:sSubPr>
                <m:e>
                  <m:r>
                    <w:rPr>
                      <w:rFonts w:ascii="Cambria Math" w:hAnsi="Cambria Math"/>
                      <w:sz w:val="20"/>
                      <w:szCs w:val="20"/>
                    </w:rPr>
                    <m:t>SI</m:t>
                  </m:r>
                </m:e>
                <m:sub>
                  <m:r>
                    <w:rPr>
                      <w:rFonts w:ascii="Cambria Math" w:hAnsi="Cambria Math"/>
                      <w:sz w:val="20"/>
                      <w:szCs w:val="20"/>
                    </w:rPr>
                    <m:t>cm</m:t>
                  </m:r>
                </m:sub>
              </m:sSub>
            </m:oMath>
            <w:r w:rsidR="00726E9E">
              <w:rPr>
                <w:rFonts w:eastAsiaTheme="minorEastAsia"/>
                <w:iCs/>
                <w:sz w:val="20"/>
                <w:szCs w:val="20"/>
              </w:rPr>
              <w:t xml:space="preserve"> </w:t>
            </w:r>
            <w:r w:rsidR="00074739">
              <w:rPr>
                <w:sz w:val="20"/>
                <w:szCs w:val="20"/>
              </w:rPr>
              <w:t>≤</w:t>
            </w:r>
            <w:r w:rsidRPr="00D95E6F">
              <w:rPr>
                <w:sz w:val="20"/>
                <w:szCs w:val="20"/>
              </w:rPr>
              <w:t xml:space="preserve"> 1+4w</w:t>
            </w:r>
          </w:p>
        </w:tc>
        <w:tc>
          <w:tcPr>
            <w:tcW w:w="2700" w:type="dxa"/>
            <w:tcBorders>
              <w:top w:val="nil"/>
              <w:left w:val="single" w:sz="12" w:space="0" w:color="5B9BD5" w:themeColor="accent1"/>
              <w:bottom w:val="nil"/>
              <w:right w:val="nil"/>
            </w:tcBorders>
            <w:vAlign w:val="center"/>
          </w:tcPr>
          <w:p w14:paraId="1B120CED" w14:textId="77777777" w:rsidR="006659B4" w:rsidRPr="00D95E6F" w:rsidRDefault="006659B4" w:rsidP="006659B4">
            <w:pPr>
              <w:pStyle w:val="ListParagraph"/>
              <w:ind w:left="0"/>
              <w:jc w:val="center"/>
              <w:rPr>
                <w:sz w:val="20"/>
                <w:szCs w:val="20"/>
              </w:rPr>
            </w:pPr>
          </w:p>
        </w:tc>
      </w:tr>
    </w:tbl>
    <w:p w14:paraId="5D2EAABD" w14:textId="77777777" w:rsidR="008E636A" w:rsidRDefault="008E636A" w:rsidP="001115CB">
      <w:pPr>
        <w:jc w:val="both"/>
      </w:pPr>
    </w:p>
    <w:p w14:paraId="2F0304C1" w14:textId="4AE905C5" w:rsidR="004C707C" w:rsidRDefault="00207DAB" w:rsidP="001115CB">
      <w:pPr>
        <w:jc w:val="both"/>
      </w:pPr>
      <w:r>
        <w:t>The first class (</w:t>
      </w:r>
      <w:r w:rsidR="008C7D7E">
        <w:t>SFE</w:t>
      </w:r>
      <w:r>
        <w:t xml:space="preserve"> equals </w:t>
      </w:r>
      <w:r w:rsidR="008C2D94">
        <w:t>one</w:t>
      </w:r>
      <w:r>
        <w:t xml:space="preserve">) contains all </w:t>
      </w:r>
      <w:r w:rsidR="00E36B37">
        <w:t>country-</w:t>
      </w:r>
      <w:r>
        <w:t xml:space="preserve">months where the cost of the food basket is equal to or less than the </w:t>
      </w:r>
      <w:r w:rsidR="00E36B37">
        <w:t xml:space="preserve">country </w:t>
      </w:r>
      <w:r w:rsidR="00C21CE3">
        <w:t xml:space="preserve">yearly </w:t>
      </w:r>
      <w:r>
        <w:t>average cost</w:t>
      </w:r>
      <w:r w:rsidR="00E663AB">
        <w:t xml:space="preserve"> (i.e. SI&lt;=1)</w:t>
      </w:r>
      <w:r>
        <w:t xml:space="preserve">. The other </w:t>
      </w:r>
      <w:r w:rsidR="00B70648">
        <w:t>four classes (2</w:t>
      </w:r>
      <w:r>
        <w:t xml:space="preserve"> to 5) have same width </w:t>
      </w:r>
      <w:r>
        <w:rPr>
          <w:i/>
        </w:rPr>
        <w:t xml:space="preserve">w </w:t>
      </w:r>
      <w:r w:rsidRPr="00207DAB">
        <w:t>and contain</w:t>
      </w:r>
      <w:r>
        <w:rPr>
          <w:i/>
        </w:rPr>
        <w:t xml:space="preserve"> </w:t>
      </w:r>
      <w:r>
        <w:t xml:space="preserve">all months where the cost of the food basket is higher than the </w:t>
      </w:r>
      <w:r w:rsidR="007B5785">
        <w:t>mean</w:t>
      </w:r>
      <w:r>
        <w:t>.</w:t>
      </w:r>
      <w:r w:rsidR="006401C3">
        <w:t xml:space="preserve"> </w:t>
      </w:r>
      <w:r w:rsidR="006401C3" w:rsidRPr="006401C3">
        <w:t xml:space="preserve">The higher the score, the more </w:t>
      </w:r>
      <w:r w:rsidR="006401C3">
        <w:t>the cost of the food basket in that month</w:t>
      </w:r>
      <w:r w:rsidR="006401C3" w:rsidRPr="006401C3">
        <w:t xml:space="preserve"> </w:t>
      </w:r>
      <w:r w:rsidR="006401C3">
        <w:t>is</w:t>
      </w:r>
      <w:r w:rsidR="006401C3" w:rsidRPr="006401C3">
        <w:t xml:space="preserve"> expected to exceed the average </w:t>
      </w:r>
      <w:r w:rsidR="00E663AB">
        <w:t xml:space="preserve">yearly </w:t>
      </w:r>
      <w:r w:rsidR="006401C3">
        <w:t>cost</w:t>
      </w:r>
      <w:r w:rsidR="006401C3" w:rsidRPr="006401C3">
        <w:t>.</w:t>
      </w:r>
      <w:r w:rsidR="00AD7DAE">
        <w:t xml:space="preserve"> In particular, </w:t>
      </w:r>
      <w:r w:rsidR="00E663AB">
        <w:t>the upper threshold of the higher class (</w:t>
      </w:r>
      <w:r w:rsidR="00B70648">
        <w:t>4</w:t>
      </w:r>
      <w:r w:rsidR="00AD7DAE" w:rsidRPr="00E663AB">
        <w:rPr>
          <w:i/>
        </w:rPr>
        <w:t>*w</w:t>
      </w:r>
      <w:r w:rsidR="00E663AB">
        <w:t xml:space="preserve">) </w:t>
      </w:r>
      <w:r w:rsidR="00AD7DAE">
        <w:t>equal</w:t>
      </w:r>
      <w:r w:rsidR="00195EC4">
        <w:t>s</w:t>
      </w:r>
      <w:r w:rsidR="00AD7DAE">
        <w:t xml:space="preserve"> the highest deviation from the mean among all months and countries</w:t>
      </w:r>
      <w:r w:rsidR="00C21CE3">
        <w:t xml:space="preserve"> (i.e. the highest values in </w:t>
      </w:r>
      <w:r w:rsidR="00C21CE3">
        <w:fldChar w:fldCharType="begin"/>
      </w:r>
      <w:r w:rsidR="00C21CE3">
        <w:instrText xml:space="preserve"> REF _Ref459900906 \h </w:instrText>
      </w:r>
      <w:r w:rsidR="00C21CE3">
        <w:fldChar w:fldCharType="separate"/>
      </w:r>
      <w:r w:rsidR="00C21CE3">
        <w:t xml:space="preserve">Table </w:t>
      </w:r>
      <w:r w:rsidR="00C21CE3">
        <w:rPr>
          <w:noProof/>
        </w:rPr>
        <w:t>4</w:t>
      </w:r>
      <w:r w:rsidR="00C21CE3">
        <w:fldChar w:fldCharType="end"/>
      </w:r>
      <w:r w:rsidR="00C21CE3">
        <w:t>)</w:t>
      </w:r>
      <w:r w:rsidR="00AD7DAE">
        <w:t>.</w:t>
      </w:r>
      <w:r w:rsidR="00A42972">
        <w:t xml:space="preserve"> </w:t>
      </w:r>
      <w:r w:rsidR="00895F8E">
        <w:t xml:space="preserve">As the values of the classes’ boundaries are endogenously defined, they can change when new estimation for the SFE are produced. Consequently, the scores cannot be compared across time, but only across space (i.e. the ranking of the countries is comparable when new estimates are available). </w:t>
      </w:r>
    </w:p>
    <w:p w14:paraId="62DA88BC" w14:textId="3D0B34D3" w:rsidR="003F26B7" w:rsidRDefault="00A42972" w:rsidP="001115CB">
      <w:pPr>
        <w:jc w:val="both"/>
      </w:pPr>
      <w:r>
        <w:lastRenderedPageBreak/>
        <w:t xml:space="preserve">The </w:t>
      </w:r>
      <w:r w:rsidR="004C707C">
        <w:t xml:space="preserve">full </w:t>
      </w:r>
      <w:r w:rsidR="004C707C" w:rsidRPr="00610DCD">
        <w:rPr>
          <w:i/>
        </w:rPr>
        <w:t xml:space="preserve">c x 12 </w:t>
      </w:r>
      <w:r w:rsidR="004C707C">
        <w:t xml:space="preserve">matrix containing the SFE and the </w:t>
      </w:r>
      <w:r>
        <w:t>values of the classes’ boundaries are reported as</w:t>
      </w:r>
      <w:r w:rsidR="003D7541">
        <w:t xml:space="preserve"> an</w:t>
      </w:r>
      <w:r>
        <w:t xml:space="preserve"> </w:t>
      </w:r>
      <w:r w:rsidR="004F5A9C">
        <w:t>A</w:t>
      </w:r>
      <w:r>
        <w:t>nnex</w:t>
      </w:r>
      <w:r w:rsidR="004F5A9C">
        <w:t xml:space="preserve"> II</w:t>
      </w:r>
      <w:r>
        <w:t xml:space="preserve"> in </w:t>
      </w:r>
      <w:r w:rsidR="00C50B02">
        <w:t>a</w:t>
      </w:r>
      <w:r w:rsidR="003D7541">
        <w:t xml:space="preserve"> separate</w:t>
      </w:r>
      <w:r>
        <w:t xml:space="preserve"> excel file</w:t>
      </w:r>
      <w:r w:rsidR="00E4037A">
        <w:t>.</w:t>
      </w:r>
      <w:r w:rsidR="003D3CA1">
        <w:t xml:space="preserve"> </w:t>
      </w:r>
    </w:p>
    <w:p w14:paraId="5ACAAD4B" w14:textId="1BD11197" w:rsidR="00F06E6F" w:rsidRDefault="00F06E6F" w:rsidP="00F2268B">
      <w:pPr>
        <w:pStyle w:val="Caption"/>
        <w:spacing w:after="0"/>
      </w:pPr>
      <w:bookmarkStart w:id="11" w:name="_Ref459975690"/>
      <w:r>
        <w:t xml:space="preserve">Table </w:t>
      </w:r>
      <w:r w:rsidR="004D0C3D">
        <w:fldChar w:fldCharType="begin"/>
      </w:r>
      <w:r w:rsidR="004D0C3D">
        <w:instrText xml:space="preserve"> SEQ Table \* ARABIC </w:instrText>
      </w:r>
      <w:r w:rsidR="004D0C3D">
        <w:fldChar w:fldCharType="separate"/>
      </w:r>
      <w:r w:rsidR="00A53470">
        <w:rPr>
          <w:noProof/>
        </w:rPr>
        <w:t>5</w:t>
      </w:r>
      <w:r w:rsidR="004D0C3D">
        <w:rPr>
          <w:noProof/>
        </w:rPr>
        <w:fldChar w:fldCharType="end"/>
      </w:r>
      <w:bookmarkEnd w:id="11"/>
      <w:r>
        <w:t xml:space="preserve"> </w:t>
      </w:r>
      <w:r w:rsidR="004E3599">
        <w:t xml:space="preserve">- </w:t>
      </w:r>
      <w:r>
        <w:t xml:space="preserve">The Seasonal Food </w:t>
      </w:r>
      <w:r w:rsidR="00A248A9">
        <w:t>Expenditure Score</w:t>
      </w:r>
      <w:r>
        <w:t xml:space="preserve"> (</w:t>
      </w:r>
      <w:r w:rsidR="008C7D7E">
        <w:t>SFE</w:t>
      </w:r>
      <w:r>
        <w:t>)</w:t>
      </w:r>
      <w:r w:rsidRPr="00F06E6F">
        <w:t xml:space="preserve"> </w:t>
      </w:r>
    </w:p>
    <w:p w14:paraId="4F15158F" w14:textId="36DF0B52" w:rsidR="00F2268B" w:rsidRPr="00F2268B" w:rsidRDefault="00CE2B74" w:rsidP="00F2268B">
      <w:pPr>
        <w:rPr>
          <w:i/>
          <w:sz w:val="20"/>
          <w:szCs w:val="20"/>
        </w:rPr>
      </w:pPr>
      <w:r w:rsidRPr="00CE2B74">
        <w:rPr>
          <w:noProof/>
        </w:rPr>
        <w:drawing>
          <wp:inline distT="0" distB="0" distL="0" distR="0" wp14:anchorId="2B86B737" wp14:editId="11478739">
            <wp:extent cx="5886907" cy="26517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6907" cy="2651760"/>
                    </a:xfrm>
                    <a:prstGeom prst="rect">
                      <a:avLst/>
                    </a:prstGeom>
                    <a:noFill/>
                    <a:ln>
                      <a:noFill/>
                    </a:ln>
                  </pic:spPr>
                </pic:pic>
              </a:graphicData>
            </a:graphic>
          </wp:inline>
        </w:drawing>
      </w:r>
      <w:r w:rsidRPr="00CE2B74">
        <w:t xml:space="preserve"> </w:t>
      </w:r>
      <w:r w:rsidR="00F2268B" w:rsidRPr="00F2268B">
        <w:rPr>
          <w:i/>
          <w:sz w:val="20"/>
          <w:szCs w:val="20"/>
        </w:rPr>
        <w:t>Note: extracted on August 11, 2016</w:t>
      </w:r>
    </w:p>
    <w:p w14:paraId="424797E1" w14:textId="2A09F705" w:rsidR="00F35723" w:rsidRPr="005951FD" w:rsidRDefault="00F35723" w:rsidP="00CF43B4">
      <w:pPr>
        <w:pStyle w:val="Heading1"/>
      </w:pPr>
      <w:bookmarkStart w:id="12" w:name="_Toc460226857"/>
      <w:r>
        <w:t xml:space="preserve">The Severity of </w:t>
      </w:r>
      <w:r w:rsidR="00596EB8">
        <w:t xml:space="preserve">the </w:t>
      </w:r>
      <w:r>
        <w:t>Seasonal</w:t>
      </w:r>
      <w:r w:rsidR="00596EB8">
        <w:t xml:space="preserve"> Food Expenditure Score</w:t>
      </w:r>
      <w:bookmarkEnd w:id="12"/>
    </w:p>
    <w:p w14:paraId="5831989A" w14:textId="5136F8B8" w:rsidR="00C836BB" w:rsidRDefault="00596EB8" w:rsidP="00C12B48">
      <w:pPr>
        <w:jc w:val="both"/>
      </w:pPr>
      <w:r>
        <w:t xml:space="preserve">The Severity of the Seasonal Food Expenditure Score (SFES) is </w:t>
      </w:r>
      <w:r w:rsidRPr="00C84BA0">
        <w:t xml:space="preserve">a forward-looking </w:t>
      </w:r>
      <w:r>
        <w:t>indicator, which</w:t>
      </w:r>
      <w:r w:rsidRPr="00C84BA0">
        <w:t xml:space="preserve"> </w:t>
      </w:r>
      <w:r w:rsidR="00120527">
        <w:t xml:space="preserve">scores months based on </w:t>
      </w:r>
      <w:r>
        <w:t xml:space="preserve">how much more expensive the food basket </w:t>
      </w:r>
      <w:r w:rsidR="006003ED">
        <w:t>is expected to be</w:t>
      </w:r>
      <w:r>
        <w:t xml:space="preserve"> in</w:t>
      </w:r>
      <w:r w:rsidRPr="00C84BA0">
        <w:t xml:space="preserve"> the </w:t>
      </w:r>
      <w:r>
        <w:t>six</w:t>
      </w:r>
      <w:r w:rsidRPr="00C84BA0">
        <w:t xml:space="preserve"> </w:t>
      </w:r>
      <w:r>
        <w:t>up</w:t>
      </w:r>
      <w:r w:rsidRPr="00C84BA0">
        <w:t>coming months</w:t>
      </w:r>
      <w:r>
        <w:t xml:space="preserve"> compared to the yearly average cost.</w:t>
      </w:r>
    </w:p>
    <w:p w14:paraId="04A56676" w14:textId="334A343A" w:rsidR="006A016E" w:rsidRDefault="006A016E" w:rsidP="00596EB8">
      <w:pPr>
        <w:jc w:val="both"/>
      </w:pPr>
      <w:r>
        <w:t xml:space="preserve">The </w:t>
      </w:r>
      <w:r w:rsidR="00723E00">
        <w:t>method</w:t>
      </w:r>
      <w:r>
        <w:t xml:space="preserve"> for the calculation of the SFES </w:t>
      </w:r>
      <w:r w:rsidR="00723E00">
        <w:t>borrows</w:t>
      </w:r>
      <w:r>
        <w:t xml:space="preserve"> from the</w:t>
      </w:r>
      <w:r w:rsidR="00A14682">
        <w:t xml:space="preserve"> literature on poverty measure. In p</w:t>
      </w:r>
      <w:r w:rsidR="00CE72D2">
        <w:t xml:space="preserve">articular, </w:t>
      </w:r>
      <w:r w:rsidR="00723E00">
        <w:t>it</w:t>
      </w:r>
      <w:r w:rsidR="00CE72D2">
        <w:t xml:space="preserve"> recalls the squared poverty gap index, also known as the poverty</w:t>
      </w:r>
      <w:r w:rsidR="009E5210">
        <w:t xml:space="preserve"> severity index</w:t>
      </w:r>
      <w:r w:rsidR="00CE72D2">
        <w:t xml:space="preserve">. </w:t>
      </w:r>
    </w:p>
    <w:p w14:paraId="64A372B4" w14:textId="40C26C4A" w:rsidR="009C32AB" w:rsidRDefault="00A87A39" w:rsidP="00A87A39">
      <w:pPr>
        <w:jc w:val="both"/>
      </w:pPr>
      <w:r>
        <w:t xml:space="preserve">The poverty </w:t>
      </w:r>
      <w:r w:rsidR="009E5210">
        <w:t xml:space="preserve">severity index </w:t>
      </w:r>
      <w:r>
        <w:t>is th</w:t>
      </w:r>
      <w:r w:rsidR="00F928E0">
        <w:t xml:space="preserve">e weighted average, over all people, of </w:t>
      </w:r>
      <w:r>
        <w:t>the gaps between poor</w:t>
      </w:r>
      <w:r w:rsidR="00F928E0">
        <w:t xml:space="preserve"> people’s living standards and </w:t>
      </w:r>
      <w:r w:rsidR="003D1C84">
        <w:t>the poverty line</w:t>
      </w:r>
      <w:r w:rsidR="009C32AB">
        <w:t xml:space="preserve"> (as a percentage of the poverty line)</w:t>
      </w:r>
      <w:r w:rsidR="003F490E">
        <w:t>;</w:t>
      </w:r>
      <w:r w:rsidR="003D1C84">
        <w:t xml:space="preserve"> the weights are the poverty gaps themselves. </w:t>
      </w:r>
      <w:r w:rsidR="009C32AB">
        <w:t>The measure belongs to the family of measure</w:t>
      </w:r>
      <w:r w:rsidR="003F490E">
        <w:t>s</w:t>
      </w:r>
      <w:r w:rsidR="009C32AB">
        <w:t xml:space="preserve"> proposed by Foster, Greer, and Thorbecke </w:t>
      </w:r>
      <w:sdt>
        <w:sdtPr>
          <w:id w:val="-1489695365"/>
          <w:citation/>
        </w:sdtPr>
        <w:sdtEndPr/>
        <w:sdtContent>
          <w:r w:rsidR="009C32AB">
            <w:fldChar w:fldCharType="begin"/>
          </w:r>
          <w:r w:rsidR="009C32AB">
            <w:instrText xml:space="preserve">CITATION Fos84 \n  \t  \l 1033 </w:instrText>
          </w:r>
          <w:r w:rsidR="009C32AB">
            <w:fldChar w:fldCharType="separate"/>
          </w:r>
          <w:r w:rsidR="009A621F">
            <w:rPr>
              <w:noProof/>
            </w:rPr>
            <w:t>(1984)</w:t>
          </w:r>
          <w:r w:rsidR="009C32AB">
            <w:fldChar w:fldCharType="end"/>
          </w:r>
        </w:sdtContent>
      </w:sdt>
      <w:r w:rsidR="004D7881">
        <w:t>:</w:t>
      </w:r>
    </w:p>
    <w:p w14:paraId="4CDEC7B6" w14:textId="53E0E454" w:rsidR="004D7881" w:rsidRDefault="004D0C3D" w:rsidP="00A87A39">
      <w:pPr>
        <w:jc w:val="both"/>
      </w:pPr>
      <m:oMathPara>
        <m:oMath>
          <m:sSub>
            <m:sSubPr>
              <m:ctrlPr>
                <w:rPr>
                  <w:rFonts w:ascii="Cambria Math" w:hAnsi="Cambria Math"/>
                  <w:i/>
                </w:rPr>
              </m:ctrlPr>
            </m:sSubPr>
            <m:e>
              <m:r>
                <w:rPr>
                  <w:rFonts w:ascii="Cambria Math" w:hAnsi="Cambria Math"/>
                </w:rPr>
                <m:t>P</m:t>
              </m:r>
            </m:e>
            <m:sub>
              <m:r>
                <w:rPr>
                  <w:rFonts w:ascii="Cambria Math" w:hAnsi="Cambria Math"/>
                </w:rPr>
                <m:t>α</m:t>
              </m:r>
            </m:sub>
          </m:sSub>
          <m:d>
            <m:dPr>
              <m:ctrlPr>
                <w:rPr>
                  <w:rFonts w:ascii="Cambria Math" w:hAnsi="Cambria Math"/>
                  <w:i/>
                </w:rPr>
              </m:ctrlPr>
            </m:dPr>
            <m:e>
              <m:r>
                <w:rPr>
                  <w:rFonts w:ascii="Cambria Math" w:hAnsi="Cambria Math"/>
                </w:rPr>
                <m:t>y;z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-z</m:t>
                          </m:r>
                        </m:num>
                        <m:den>
                          <m:r>
                            <w:rPr>
                              <w:rFonts w:ascii="Cambria Math" w:eastAsiaTheme="minorEastAsia" w:hAnsi="Cambria Math"/>
                            </w:rPr>
                            <m:t>z</m:t>
                          </m:r>
                        </m:den>
                      </m:f>
                    </m:e>
                  </m:d>
                </m:e>
                <m:sup>
                  <m:r>
                    <w:rPr>
                      <w:rFonts w:ascii="Cambria Math" w:eastAsiaTheme="minorEastAsia" w:hAnsi="Cambria Math"/>
                    </w:rPr>
                    <m:t>α</m:t>
                  </m:r>
                </m:sup>
              </m:sSup>
            </m:e>
          </m:nary>
        </m:oMath>
      </m:oMathPara>
    </w:p>
    <w:p w14:paraId="221292F1" w14:textId="71175852" w:rsidR="009C32AB" w:rsidRDefault="004D7881" w:rsidP="004D7881">
      <w:pPr>
        <w:ind w:firstLine="720"/>
        <w:jc w:val="both"/>
      </w:pPr>
      <w:r w:rsidRPr="004E05C4">
        <w:rPr>
          <w:i/>
        </w:rPr>
        <w:t>with</w:t>
      </w:r>
      <w:r>
        <w:t xml:space="preserve"> </w:t>
      </w:r>
      <w:r w:rsidRPr="004D7881">
        <w:rPr>
          <w:i/>
        </w:rPr>
        <w:t>α</w:t>
      </w:r>
      <w:r>
        <w:t xml:space="preserve"> ≥ 0 , </w:t>
      </w:r>
      <w:r w:rsidRPr="004D7881">
        <w:rPr>
          <w:i/>
        </w:rPr>
        <w:t>z</w:t>
      </w:r>
      <w:r>
        <w:t xml:space="preserve"> the poverty line</w:t>
      </w:r>
      <w:r w:rsidR="001E5AAC">
        <w:t>,</w:t>
      </w:r>
      <w:r>
        <w:t xml:space="preserve"> </w:t>
      </w:r>
      <w:r w:rsidR="001B576D">
        <w:t>(</w:t>
      </w:r>
      <m:oMath>
        <m:r>
          <w:rPr>
            <w:rFonts w:ascii="Cambria Math" w:hAnsi="Cambria Math"/>
          </w:rPr>
          <m:t>z-</m:t>
        </m:r>
        <m:sSub>
          <m:sSubPr>
            <m:ctrlPr>
              <w:rPr>
                <w:rFonts w:ascii="Cambria Math" w:hAnsi="Cambria Math"/>
                <w:i/>
              </w:rPr>
            </m:ctrlPr>
          </m:sSubPr>
          <m:e>
            <m:r>
              <w:rPr>
                <w:rFonts w:ascii="Cambria Math" w:hAnsi="Cambria Math"/>
              </w:rPr>
              <m:t>y</m:t>
            </m:r>
          </m:e>
          <m:sub>
            <m:r>
              <w:rPr>
                <w:rFonts w:ascii="Cambria Math" w:hAnsi="Cambria Math"/>
              </w:rPr>
              <m:t>i</m:t>
            </m:r>
          </m:sub>
        </m:sSub>
      </m:oMath>
      <w:r w:rsidR="001B576D">
        <w:t>) the poverty gap</w:t>
      </w:r>
      <w:r w:rsidR="004E05C4">
        <w:t>,</w:t>
      </w:r>
      <w:r w:rsidR="001E5AAC">
        <w:t xml:space="preserve"> and (</w:t>
      </w:r>
      <m:oMath>
        <m:r>
          <w:rPr>
            <w:rFonts w:ascii="Cambria Math" w:hAnsi="Cambria Math"/>
          </w:rPr>
          <m:t>z-</m:t>
        </m:r>
        <m:sSub>
          <m:sSubPr>
            <m:ctrlPr>
              <w:rPr>
                <w:rFonts w:ascii="Cambria Math" w:hAnsi="Cambria Math"/>
                <w:i/>
              </w:rPr>
            </m:ctrlPr>
          </m:sSubPr>
          <m:e>
            <m:r>
              <w:rPr>
                <w:rFonts w:ascii="Cambria Math" w:hAnsi="Cambria Math"/>
              </w:rPr>
              <m:t>y</m:t>
            </m:r>
          </m:e>
          <m:sub>
            <m:r>
              <w:rPr>
                <w:rFonts w:ascii="Cambria Math" w:hAnsi="Cambria Math"/>
              </w:rPr>
              <m:t>i</m:t>
            </m:r>
          </m:sub>
        </m:sSub>
      </m:oMath>
      <w:r w:rsidR="001E5AAC">
        <w:t xml:space="preserve">)=0 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&gt;z</m:t>
        </m:r>
      </m:oMath>
      <w:r>
        <w:t xml:space="preserve">. </w:t>
      </w:r>
    </w:p>
    <w:p w14:paraId="22838226" w14:textId="5F73EDD6" w:rsidR="008E15E7" w:rsidRDefault="003F490E" w:rsidP="00A87A39">
      <w:pPr>
        <w:jc w:val="both"/>
      </w:pPr>
      <w:r>
        <w:t>Similarly</w:t>
      </w:r>
      <w:r w:rsidR="009E5210">
        <w:t xml:space="preserve"> to the poverty severity index</w:t>
      </w:r>
      <w:r>
        <w:t xml:space="preserve">, </w:t>
      </w:r>
      <w:r w:rsidR="00055F43">
        <w:t xml:space="preserve">the weighted average, over the six </w:t>
      </w:r>
      <w:r w:rsidR="008233E9">
        <w:t>up</w:t>
      </w:r>
      <w:r w:rsidR="00055F43">
        <w:t>coming months, of the positive deviation of the cost of the food basket from the yearly average</w:t>
      </w:r>
      <w:r w:rsidR="009E5210">
        <w:t xml:space="preserve"> </w:t>
      </w:r>
      <w:r w:rsidR="00A36E88">
        <w:t xml:space="preserve">cost </w:t>
      </w:r>
      <w:r w:rsidR="009E5210">
        <w:t>can be computed</w:t>
      </w:r>
      <w:r w:rsidR="00055F43">
        <w:t xml:space="preserve">. </w:t>
      </w:r>
      <w:r w:rsidR="008E15E7">
        <w:t>The starting point for the calculation is the SFE, and the benchmark (e.g. the poverty line in the case of the poverty</w:t>
      </w:r>
      <w:r w:rsidR="00A36E88">
        <w:t xml:space="preserve"> severity index</w:t>
      </w:r>
      <w:r w:rsidR="008E15E7">
        <w:t xml:space="preserve">) is </w:t>
      </w:r>
      <w:r w:rsidR="004E05C4">
        <w:t>one</w:t>
      </w:r>
      <w:r w:rsidR="008E15E7">
        <w:t xml:space="preserve">. </w:t>
      </w:r>
      <w:r w:rsidR="0039565B">
        <w:t>Indeed, a</w:t>
      </w:r>
      <w:r w:rsidR="008E15E7">
        <w:t xml:space="preserve"> score of one for SFE </w:t>
      </w:r>
      <w:r w:rsidR="008E15E7" w:rsidRPr="008C424C">
        <w:t xml:space="preserve">reflects </w:t>
      </w:r>
      <w:r w:rsidR="008E15E7">
        <w:t xml:space="preserve">a </w:t>
      </w:r>
      <w:r w:rsidR="00105528">
        <w:t>‘harmless</w:t>
      </w:r>
      <w:r w:rsidR="008E15E7" w:rsidRPr="008C424C">
        <w:t xml:space="preserve"> </w:t>
      </w:r>
      <w:r w:rsidR="00105528">
        <w:t>situation’</w:t>
      </w:r>
      <w:r w:rsidR="0039565B">
        <w:t>:</w:t>
      </w:r>
      <w:r w:rsidR="00AE435B">
        <w:t xml:space="preserve"> </w:t>
      </w:r>
      <w:r w:rsidR="008E15E7" w:rsidRPr="008C424C">
        <w:t>months were the cost of food basket is equal</w:t>
      </w:r>
      <w:r w:rsidR="008E15E7">
        <w:t xml:space="preserve"> to</w:t>
      </w:r>
      <w:r w:rsidR="008E15E7" w:rsidRPr="008C424C">
        <w:t xml:space="preserve"> or less than the average yearly cost</w:t>
      </w:r>
      <w:r w:rsidR="008E15E7">
        <w:t xml:space="preserve">. </w:t>
      </w:r>
      <w:r w:rsidR="009E5210">
        <w:t>The Squared Gap of the SFE (SG_SFE) is given by:</w:t>
      </w:r>
    </w:p>
    <w:p w14:paraId="4C965FA8" w14:textId="4BDEE62A" w:rsidR="008C424C" w:rsidRPr="008C424C" w:rsidRDefault="004D0C3D" w:rsidP="00C12B48">
      <w:pPr>
        <w:jc w:val="both"/>
      </w:pPr>
      <m:oMathPara>
        <m:oMath>
          <m:sSub>
            <m:sSubPr>
              <m:ctrlPr>
                <w:rPr>
                  <w:rFonts w:ascii="Cambria Math" w:hAnsi="Cambria Math"/>
                  <w:i/>
                </w:rPr>
              </m:ctrlPr>
            </m:sSubPr>
            <m:e>
              <m:r>
                <w:rPr>
                  <w:rFonts w:ascii="Cambria Math" w:hAnsi="Cambria Math"/>
                </w:rPr>
                <m:t>SG_SFE</m:t>
              </m:r>
            </m:e>
            <m:sub>
              <m:r>
                <w:rPr>
                  <w:rFonts w:ascii="Cambria Math" w:hAnsi="Cambria Math"/>
                </w:rPr>
                <m:t>cm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6</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SFE</m:t>
                          </m:r>
                        </m:e>
                        <m:sub>
                          <m:r>
                            <w:rPr>
                              <w:rFonts w:ascii="Cambria Math" w:hAnsi="Cambria Math"/>
                            </w:rPr>
                            <m:t>c,m+i</m:t>
                          </m:r>
                        </m:sub>
                      </m:sSub>
                      <m:r>
                        <w:rPr>
                          <w:rFonts w:ascii="Cambria Math" w:hAnsi="Cambria Math"/>
                        </w:rPr>
                        <m:t>-1</m:t>
                      </m:r>
                    </m:e>
                  </m:d>
                </m:e>
                <m:sup>
                  <m:r>
                    <w:rPr>
                      <w:rFonts w:ascii="Cambria Math" w:hAnsi="Cambria Math"/>
                    </w:rPr>
                    <m:t>2</m:t>
                  </m:r>
                </m:sup>
              </m:sSup>
            </m:e>
          </m:nary>
        </m:oMath>
      </m:oMathPara>
    </w:p>
    <w:p w14:paraId="7B762573" w14:textId="40D1D584" w:rsidR="00906598" w:rsidRPr="00906598" w:rsidRDefault="00906598" w:rsidP="00906598">
      <w:pPr>
        <w:jc w:val="both"/>
      </w:pPr>
      <w:r>
        <w:lastRenderedPageBreak/>
        <w:t>B</w:t>
      </w:r>
      <w:r w:rsidRPr="00906598">
        <w:t xml:space="preserve">y </w:t>
      </w:r>
      <w:r>
        <w:t xml:space="preserve">setting </w:t>
      </w:r>
      <w:r w:rsidRPr="004D7881">
        <w:rPr>
          <w:i/>
        </w:rPr>
        <w:t>α</w:t>
      </w:r>
      <w:r>
        <w:t>=2</w:t>
      </w:r>
      <w:r w:rsidRPr="00906598">
        <w:t>,</w:t>
      </w:r>
      <w:r>
        <w:t xml:space="preserve"> </w:t>
      </w:r>
      <w:r w:rsidRPr="00906598">
        <w:t>the measure implicitly</w:t>
      </w:r>
      <w:r>
        <w:t xml:space="preserve"> </w:t>
      </w:r>
      <w:r w:rsidRPr="00906598">
        <w:t xml:space="preserve">puts more weight on </w:t>
      </w:r>
      <w:r w:rsidR="006544F8">
        <w:t>months</w:t>
      </w:r>
      <w:r w:rsidRPr="00906598">
        <w:t xml:space="preserve"> </w:t>
      </w:r>
      <w:r w:rsidR="006544F8">
        <w:t xml:space="preserve">with higher SFE. </w:t>
      </w:r>
    </w:p>
    <w:p w14:paraId="61F0B708" w14:textId="241EA040" w:rsidR="00A53470" w:rsidRDefault="009A621F" w:rsidP="00A53470">
      <w:pPr>
        <w:jc w:val="both"/>
      </w:pPr>
      <w:r>
        <w:t>The</w:t>
      </w:r>
      <w:r w:rsidR="00A53470">
        <w:t xml:space="preserve"> new </w:t>
      </w:r>
      <w:r w:rsidR="00A53470" w:rsidRPr="00610DCD">
        <w:rPr>
          <w:i/>
        </w:rPr>
        <w:t xml:space="preserve">c x 12 </w:t>
      </w:r>
      <w:r w:rsidR="00A53470">
        <w:t>matrix containing the SFE</w:t>
      </w:r>
      <w:r w:rsidR="00532EF5">
        <w:t>S</w:t>
      </w:r>
      <w:r w:rsidR="00A53470">
        <w:t xml:space="preserve"> (</w:t>
      </w:r>
      <w:r w:rsidR="00532EF5">
        <w:fldChar w:fldCharType="begin"/>
      </w:r>
      <w:r w:rsidR="00532EF5">
        <w:instrText xml:space="preserve"> REF _Ref459989790 \h </w:instrText>
      </w:r>
      <w:r w:rsidR="00532EF5">
        <w:fldChar w:fldCharType="separate"/>
      </w:r>
      <w:r w:rsidR="00532EF5">
        <w:t xml:space="preserve">Table </w:t>
      </w:r>
      <w:r w:rsidR="00532EF5">
        <w:rPr>
          <w:noProof/>
        </w:rPr>
        <w:t>6</w:t>
      </w:r>
      <w:r w:rsidR="00532EF5">
        <w:fldChar w:fldCharType="end"/>
      </w:r>
      <w:r w:rsidR="00A53470">
        <w:fldChar w:fldCharType="begin"/>
      </w:r>
      <w:r w:rsidR="00A53470">
        <w:instrText xml:space="preserve"> REF _Ref459975690 \h </w:instrText>
      </w:r>
      <w:r w:rsidR="00A53470">
        <w:fldChar w:fldCharType="end"/>
      </w:r>
      <w:r w:rsidR="00A53470">
        <w:t xml:space="preserve">) is derived </w:t>
      </w:r>
      <w:r w:rsidR="00532EF5">
        <w:t xml:space="preserve">with </w:t>
      </w:r>
      <w:r w:rsidR="008E4140">
        <w:t>a similar</w:t>
      </w:r>
      <w:r w:rsidR="00532EF5">
        <w:t xml:space="preserve"> procedure used for the SFE. A score between 1 and 5 is assigned</w:t>
      </w:r>
      <w:r w:rsidR="00A53470">
        <w:t xml:space="preserve"> to each month-count</w:t>
      </w:r>
      <w:r w:rsidR="00532EF5">
        <w:t>ry combination</w:t>
      </w:r>
      <w:r w:rsidR="00A53470">
        <w:t xml:space="preserve"> based on the value of the</w:t>
      </w:r>
      <w:r w:rsidR="005B1E84">
        <w:rPr>
          <w:rFonts w:eastAsiaTheme="minorEastAsia"/>
        </w:rPr>
        <w:t xml:space="preserve"> </w:t>
      </w:r>
      <m:oMath>
        <m:sSub>
          <m:sSubPr>
            <m:ctrlPr>
              <w:rPr>
                <w:rFonts w:ascii="Cambria Math" w:hAnsi="Cambria Math"/>
                <w:i/>
                <w:iCs/>
              </w:rPr>
            </m:ctrlPr>
          </m:sSubPr>
          <m:e>
            <m:r>
              <w:rPr>
                <w:rFonts w:ascii="Cambria Math" w:hAnsi="Cambria Math"/>
              </w:rPr>
              <m:t>SG_SFE</m:t>
            </m:r>
          </m:e>
          <m:sub>
            <m:r>
              <w:rPr>
                <w:rFonts w:ascii="Cambria Math" w:hAnsi="Cambria Math"/>
              </w:rPr>
              <m:t>cm</m:t>
            </m:r>
          </m:sub>
        </m:sSub>
      </m:oMath>
      <w:r w:rsidR="00A53470">
        <w:rPr>
          <w:rFonts w:eastAsiaTheme="minorEastAsia"/>
          <w:iCs/>
        </w:rPr>
        <w:t xml:space="preserve"> </w:t>
      </w:r>
      <w:r w:rsidR="00A53470">
        <w:t xml:space="preserve">and the following rule: </w:t>
      </w:r>
    </w:p>
    <w:tbl>
      <w:tblPr>
        <w:tblStyle w:val="TableGrid"/>
        <w:tblW w:w="0" w:type="auto"/>
        <w:tblInd w:w="2250" w:type="dxa"/>
        <w:tblLook w:val="04A0" w:firstRow="1" w:lastRow="0" w:firstColumn="1" w:lastColumn="0" w:noHBand="0" w:noVBand="1"/>
      </w:tblPr>
      <w:tblGrid>
        <w:gridCol w:w="870"/>
        <w:gridCol w:w="2424"/>
        <w:gridCol w:w="2700"/>
      </w:tblGrid>
      <w:tr w:rsidR="00A53470" w:rsidRPr="009B3A4E" w14:paraId="2B127BA9" w14:textId="77777777" w:rsidTr="008A4C54">
        <w:tc>
          <w:tcPr>
            <w:tcW w:w="87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6AAAABB5" w14:textId="6C42A974" w:rsidR="00A53470" w:rsidRPr="00730D54" w:rsidRDefault="00A53470" w:rsidP="008A4C54">
            <w:pPr>
              <w:pStyle w:val="ListParagraph"/>
              <w:ind w:left="0"/>
              <w:jc w:val="center"/>
              <w:rPr>
                <w:b/>
                <w:sz w:val="20"/>
                <w:szCs w:val="20"/>
              </w:rPr>
            </w:pPr>
            <w:r>
              <w:rPr>
                <w:b/>
                <w:sz w:val="20"/>
                <w:szCs w:val="20"/>
              </w:rPr>
              <w:t>SFE</w:t>
            </w:r>
            <w:r w:rsidR="005B1E84">
              <w:rPr>
                <w:b/>
                <w:sz w:val="20"/>
                <w:szCs w:val="20"/>
              </w:rPr>
              <w:t>S</w:t>
            </w:r>
          </w:p>
        </w:tc>
        <w:tc>
          <w:tcPr>
            <w:tcW w:w="242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308A3DFC" w14:textId="77777777" w:rsidR="00A53470" w:rsidRPr="00730D54" w:rsidRDefault="00A53470" w:rsidP="008A4C54">
            <w:pPr>
              <w:pStyle w:val="ListParagraph"/>
              <w:ind w:left="0"/>
              <w:jc w:val="center"/>
              <w:rPr>
                <w:b/>
                <w:sz w:val="20"/>
                <w:szCs w:val="20"/>
              </w:rPr>
            </w:pPr>
          </w:p>
        </w:tc>
        <w:tc>
          <w:tcPr>
            <w:tcW w:w="2700" w:type="dxa"/>
            <w:tcBorders>
              <w:top w:val="nil"/>
              <w:left w:val="single" w:sz="12" w:space="0" w:color="5B9BD5" w:themeColor="accent1"/>
              <w:bottom w:val="nil"/>
              <w:right w:val="nil"/>
            </w:tcBorders>
          </w:tcPr>
          <w:p w14:paraId="4278B05B" w14:textId="77777777" w:rsidR="00A53470" w:rsidRPr="00730D54" w:rsidRDefault="00A53470" w:rsidP="008A4C54">
            <w:pPr>
              <w:pStyle w:val="ListParagraph"/>
              <w:ind w:left="0"/>
              <w:rPr>
                <w:b/>
                <w:sz w:val="20"/>
                <w:szCs w:val="20"/>
              </w:rPr>
            </w:pPr>
          </w:p>
        </w:tc>
      </w:tr>
      <w:tr w:rsidR="00A53470" w:rsidRPr="00D95E6F" w14:paraId="6DBB3BE7" w14:textId="77777777" w:rsidTr="008A4C54">
        <w:trPr>
          <w:trHeight w:val="426"/>
        </w:trPr>
        <w:tc>
          <w:tcPr>
            <w:tcW w:w="870" w:type="dxa"/>
            <w:tcBorders>
              <w:top w:val="single" w:sz="12" w:space="0" w:color="5B9BD5" w:themeColor="accent1"/>
              <w:left w:val="single" w:sz="12" w:space="0" w:color="5B9BD5" w:themeColor="accent1"/>
              <w:bottom w:val="nil"/>
              <w:right w:val="single" w:sz="12" w:space="0" w:color="5B9BD5" w:themeColor="accent1"/>
            </w:tcBorders>
            <w:vAlign w:val="center"/>
          </w:tcPr>
          <w:p w14:paraId="7F1ECBBF" w14:textId="77777777" w:rsidR="00A53470" w:rsidRPr="00D95E6F" w:rsidRDefault="00A53470" w:rsidP="008A4C54">
            <w:pPr>
              <w:pStyle w:val="ListParagraph"/>
              <w:ind w:left="0"/>
              <w:jc w:val="center"/>
              <w:rPr>
                <w:b/>
                <w:sz w:val="20"/>
                <w:szCs w:val="20"/>
              </w:rPr>
            </w:pPr>
            <w:r w:rsidRPr="00D95E6F">
              <w:rPr>
                <w:b/>
                <w:sz w:val="20"/>
                <w:szCs w:val="20"/>
              </w:rPr>
              <w:t>1</w:t>
            </w:r>
          </w:p>
        </w:tc>
        <w:tc>
          <w:tcPr>
            <w:tcW w:w="2424" w:type="dxa"/>
            <w:tcBorders>
              <w:top w:val="single" w:sz="12" w:space="0" w:color="5B9BD5" w:themeColor="accent1"/>
              <w:left w:val="single" w:sz="12" w:space="0" w:color="5B9BD5" w:themeColor="accent1"/>
              <w:bottom w:val="nil"/>
              <w:right w:val="single" w:sz="12" w:space="0" w:color="5B9BD5" w:themeColor="accent1"/>
            </w:tcBorders>
            <w:vAlign w:val="center"/>
          </w:tcPr>
          <w:p w14:paraId="5B7B57EB" w14:textId="25823B25" w:rsidR="00A53470" w:rsidRPr="00D95E6F" w:rsidRDefault="004D0C3D" w:rsidP="001506C7">
            <w:pPr>
              <w:pStyle w:val="ListParagraph"/>
              <w:ind w:left="0"/>
              <w:jc w:val="center"/>
              <w:rPr>
                <w:sz w:val="20"/>
                <w:szCs w:val="20"/>
              </w:rPr>
            </w:pPr>
            <m:oMath>
              <m:sSub>
                <m:sSubPr>
                  <m:ctrlPr>
                    <w:rPr>
                      <w:rFonts w:ascii="Cambria Math" w:hAnsi="Cambria Math"/>
                      <w:i/>
                      <w:iCs/>
                      <w:sz w:val="20"/>
                      <w:szCs w:val="20"/>
                    </w:rPr>
                  </m:ctrlPr>
                </m:sSubPr>
                <m:e>
                  <m:r>
                    <w:rPr>
                      <w:rFonts w:ascii="Cambria Math" w:hAnsi="Cambria Math"/>
                      <w:sz w:val="20"/>
                      <w:szCs w:val="20"/>
                    </w:rPr>
                    <m:t>SG_SFE</m:t>
                  </m:r>
                </m:e>
                <m:sub>
                  <m:r>
                    <w:rPr>
                      <w:rFonts w:ascii="Cambria Math" w:hAnsi="Cambria Math"/>
                      <w:sz w:val="20"/>
                      <w:szCs w:val="20"/>
                    </w:rPr>
                    <m:t>cm</m:t>
                  </m:r>
                </m:sub>
              </m:sSub>
            </m:oMath>
            <w:r w:rsidR="007B5E84">
              <w:rPr>
                <w:sz w:val="20"/>
                <w:szCs w:val="20"/>
              </w:rPr>
              <w:t>= 0</w:t>
            </w:r>
          </w:p>
        </w:tc>
        <w:tc>
          <w:tcPr>
            <w:tcW w:w="2700" w:type="dxa"/>
            <w:tcBorders>
              <w:top w:val="nil"/>
              <w:left w:val="single" w:sz="12" w:space="0" w:color="5B9BD5" w:themeColor="accent1"/>
              <w:bottom w:val="nil"/>
              <w:right w:val="nil"/>
            </w:tcBorders>
            <w:vAlign w:val="center"/>
          </w:tcPr>
          <w:p w14:paraId="25E8C430" w14:textId="77777777" w:rsidR="00A53470" w:rsidRPr="00D95E6F" w:rsidRDefault="00A53470" w:rsidP="008A4C54">
            <w:pPr>
              <w:pStyle w:val="ListParagraph"/>
              <w:ind w:left="0"/>
              <w:jc w:val="center"/>
              <w:rPr>
                <w:sz w:val="20"/>
                <w:szCs w:val="20"/>
              </w:rPr>
            </w:pPr>
          </w:p>
        </w:tc>
      </w:tr>
      <w:tr w:rsidR="00A53470" w:rsidRPr="00D95E6F" w14:paraId="050916F4" w14:textId="77777777" w:rsidTr="008A4C54">
        <w:trPr>
          <w:trHeight w:val="426"/>
        </w:trPr>
        <w:tc>
          <w:tcPr>
            <w:tcW w:w="870" w:type="dxa"/>
            <w:tcBorders>
              <w:top w:val="nil"/>
              <w:left w:val="single" w:sz="12" w:space="0" w:color="5B9BD5" w:themeColor="accent1"/>
              <w:bottom w:val="nil"/>
              <w:right w:val="single" w:sz="12" w:space="0" w:color="5B9BD5" w:themeColor="accent1"/>
            </w:tcBorders>
            <w:vAlign w:val="center"/>
          </w:tcPr>
          <w:p w14:paraId="42F5FE49" w14:textId="77777777" w:rsidR="00A53470" w:rsidRPr="00D95E6F" w:rsidRDefault="00A53470" w:rsidP="008A4C54">
            <w:pPr>
              <w:pStyle w:val="ListParagraph"/>
              <w:ind w:left="0"/>
              <w:jc w:val="center"/>
              <w:rPr>
                <w:b/>
                <w:sz w:val="20"/>
                <w:szCs w:val="20"/>
              </w:rPr>
            </w:pPr>
            <w:r w:rsidRPr="00D95E6F">
              <w:rPr>
                <w:b/>
                <w:sz w:val="20"/>
                <w:szCs w:val="20"/>
              </w:rPr>
              <w:t>2</w:t>
            </w:r>
          </w:p>
        </w:tc>
        <w:tc>
          <w:tcPr>
            <w:tcW w:w="2424" w:type="dxa"/>
            <w:tcBorders>
              <w:top w:val="nil"/>
              <w:left w:val="single" w:sz="12" w:space="0" w:color="5B9BD5" w:themeColor="accent1"/>
              <w:bottom w:val="nil"/>
              <w:right w:val="single" w:sz="12" w:space="0" w:color="5B9BD5" w:themeColor="accent1"/>
            </w:tcBorders>
            <w:vAlign w:val="center"/>
          </w:tcPr>
          <w:p w14:paraId="7229099D" w14:textId="6A8A2052" w:rsidR="00A53470" w:rsidRPr="00D95E6F" w:rsidRDefault="00A53470" w:rsidP="001506C7">
            <w:pPr>
              <w:pStyle w:val="ListParagraph"/>
              <w:ind w:left="0"/>
              <w:jc w:val="center"/>
              <w:rPr>
                <w:sz w:val="20"/>
                <w:szCs w:val="20"/>
              </w:rPr>
            </w:pPr>
            <w:r w:rsidRPr="00D95E6F">
              <w:rPr>
                <w:sz w:val="20"/>
                <w:szCs w:val="20"/>
              </w:rPr>
              <w:t xml:space="preserve">  </w:t>
            </w:r>
            <w:r w:rsidR="001506C7">
              <w:rPr>
                <w:sz w:val="20"/>
                <w:szCs w:val="20"/>
              </w:rPr>
              <w:t>0</w:t>
            </w:r>
            <w:r w:rsidRPr="00D95E6F">
              <w:rPr>
                <w:sz w:val="20"/>
                <w:szCs w:val="20"/>
              </w:rPr>
              <w:t xml:space="preserve"> &lt; </w:t>
            </w:r>
            <m:oMath>
              <m:sSub>
                <m:sSubPr>
                  <m:ctrlPr>
                    <w:rPr>
                      <w:rFonts w:ascii="Cambria Math" w:hAnsi="Cambria Math"/>
                      <w:i/>
                      <w:iCs/>
                      <w:sz w:val="20"/>
                      <w:szCs w:val="20"/>
                    </w:rPr>
                  </m:ctrlPr>
                </m:sSubPr>
                <m:e>
                  <m:r>
                    <w:rPr>
                      <w:rFonts w:ascii="Cambria Math" w:hAnsi="Cambria Math"/>
                      <w:sz w:val="20"/>
                      <w:szCs w:val="20"/>
                    </w:rPr>
                    <m:t>SG_SFE</m:t>
                  </m:r>
                </m:e>
                <m:sub>
                  <m:r>
                    <w:rPr>
                      <w:rFonts w:ascii="Cambria Math" w:hAnsi="Cambria Math"/>
                      <w:sz w:val="20"/>
                      <w:szCs w:val="20"/>
                    </w:rPr>
                    <m:t>cm</m:t>
                  </m:r>
                </m:sub>
              </m:sSub>
            </m:oMath>
            <w:r w:rsidR="001506C7">
              <w:rPr>
                <w:sz w:val="20"/>
                <w:szCs w:val="20"/>
              </w:rPr>
              <w:t>≤ δ</w:t>
            </w:r>
          </w:p>
        </w:tc>
        <w:tc>
          <w:tcPr>
            <w:tcW w:w="2700" w:type="dxa"/>
            <w:tcBorders>
              <w:top w:val="nil"/>
              <w:left w:val="single" w:sz="12" w:space="0" w:color="5B9BD5" w:themeColor="accent1"/>
              <w:bottom w:val="nil"/>
              <w:right w:val="nil"/>
            </w:tcBorders>
            <w:vAlign w:val="center"/>
          </w:tcPr>
          <w:p w14:paraId="2B62B6BC" w14:textId="006D0C70" w:rsidR="00A53470" w:rsidRPr="00D95E6F" w:rsidRDefault="00A53470" w:rsidP="008A4C54">
            <w:pPr>
              <w:pStyle w:val="ListParagraph"/>
              <w:ind w:left="0"/>
              <w:jc w:val="center"/>
              <w:rPr>
                <w:sz w:val="20"/>
                <w:szCs w:val="20"/>
              </w:rPr>
            </w:pPr>
            <w:r w:rsidRPr="00D95E6F">
              <w:rPr>
                <w:sz w:val="20"/>
                <w:szCs w:val="20"/>
              </w:rPr>
              <w:t xml:space="preserve">  ,   where </w:t>
            </w:r>
            <m:oMath>
              <m:r>
                <w:rPr>
                  <w:rFonts w:ascii="Cambria Math" w:hAnsi="Cambria Math"/>
                  <w:sz w:val="24"/>
                  <w:szCs w:val="24"/>
                </w:rPr>
                <m:t>δ=</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max</m:t>
                      </m:r>
                    </m:fName>
                    <m:e>
                      <m:d>
                        <m:dPr>
                          <m:ctrlPr>
                            <w:rPr>
                              <w:rFonts w:ascii="Cambria Math" w:hAnsi="Cambria Math"/>
                              <w:i/>
                              <w:sz w:val="24"/>
                              <w:szCs w:val="24"/>
                            </w:rPr>
                          </m:ctrlPr>
                        </m:dPr>
                        <m:e>
                          <m:r>
                            <w:rPr>
                              <w:rFonts w:ascii="Cambria Math" w:hAnsi="Cambria Math"/>
                              <w:sz w:val="24"/>
                              <w:szCs w:val="24"/>
                            </w:rPr>
                            <m:t>SG_SFE</m:t>
                          </m:r>
                        </m:e>
                      </m:d>
                    </m:e>
                  </m:func>
                </m:num>
                <m:den>
                  <m:r>
                    <w:rPr>
                      <w:rFonts w:ascii="Cambria Math" w:hAnsi="Cambria Math"/>
                      <w:sz w:val="24"/>
                      <w:szCs w:val="24"/>
                    </w:rPr>
                    <m:t>4</m:t>
                  </m:r>
                </m:den>
              </m:f>
            </m:oMath>
          </w:p>
        </w:tc>
      </w:tr>
      <w:tr w:rsidR="00A53470" w:rsidRPr="00D95E6F" w14:paraId="39A0D354" w14:textId="77777777" w:rsidTr="008A4C54">
        <w:trPr>
          <w:trHeight w:val="426"/>
        </w:trPr>
        <w:tc>
          <w:tcPr>
            <w:tcW w:w="870" w:type="dxa"/>
            <w:tcBorders>
              <w:top w:val="nil"/>
              <w:left w:val="single" w:sz="12" w:space="0" w:color="5B9BD5" w:themeColor="accent1"/>
              <w:bottom w:val="nil"/>
              <w:right w:val="single" w:sz="12" w:space="0" w:color="5B9BD5" w:themeColor="accent1"/>
            </w:tcBorders>
            <w:vAlign w:val="center"/>
          </w:tcPr>
          <w:p w14:paraId="48C23B26" w14:textId="77777777" w:rsidR="00A53470" w:rsidRPr="00D95E6F" w:rsidRDefault="00A53470" w:rsidP="008A4C54">
            <w:pPr>
              <w:pStyle w:val="ListParagraph"/>
              <w:ind w:left="0"/>
              <w:jc w:val="center"/>
              <w:rPr>
                <w:b/>
                <w:sz w:val="20"/>
                <w:szCs w:val="20"/>
              </w:rPr>
            </w:pPr>
            <w:r w:rsidRPr="00D95E6F">
              <w:rPr>
                <w:b/>
                <w:sz w:val="20"/>
                <w:szCs w:val="20"/>
              </w:rPr>
              <w:t>3</w:t>
            </w:r>
          </w:p>
        </w:tc>
        <w:tc>
          <w:tcPr>
            <w:tcW w:w="2424" w:type="dxa"/>
            <w:tcBorders>
              <w:top w:val="nil"/>
              <w:left w:val="single" w:sz="12" w:space="0" w:color="5B9BD5" w:themeColor="accent1"/>
              <w:bottom w:val="nil"/>
              <w:right w:val="single" w:sz="12" w:space="0" w:color="5B9BD5" w:themeColor="accent1"/>
            </w:tcBorders>
            <w:vAlign w:val="center"/>
          </w:tcPr>
          <w:p w14:paraId="5E63F699" w14:textId="4A7C848E" w:rsidR="00A53470" w:rsidRPr="00D95E6F" w:rsidRDefault="001506C7" w:rsidP="008A4C54">
            <w:pPr>
              <w:pStyle w:val="ListParagraph"/>
              <w:ind w:left="0"/>
              <w:jc w:val="center"/>
              <w:rPr>
                <w:sz w:val="20"/>
                <w:szCs w:val="20"/>
              </w:rPr>
            </w:pPr>
            <w:r>
              <w:rPr>
                <w:sz w:val="20"/>
                <w:szCs w:val="20"/>
              </w:rPr>
              <w:t>δ</w:t>
            </w:r>
            <w:r w:rsidR="00A53470" w:rsidRPr="00D95E6F">
              <w:rPr>
                <w:sz w:val="20"/>
                <w:szCs w:val="20"/>
              </w:rPr>
              <w:t xml:space="preserve"> &lt; </w:t>
            </w:r>
            <m:oMath>
              <m:sSub>
                <m:sSubPr>
                  <m:ctrlPr>
                    <w:rPr>
                      <w:rFonts w:ascii="Cambria Math" w:hAnsi="Cambria Math"/>
                      <w:i/>
                      <w:iCs/>
                      <w:sz w:val="20"/>
                      <w:szCs w:val="20"/>
                    </w:rPr>
                  </m:ctrlPr>
                </m:sSubPr>
                <m:e>
                  <m:r>
                    <w:rPr>
                      <w:rFonts w:ascii="Cambria Math" w:hAnsi="Cambria Math"/>
                      <w:sz w:val="20"/>
                      <w:szCs w:val="20"/>
                    </w:rPr>
                    <m:t>SG_SFE</m:t>
                  </m:r>
                </m:e>
                <m:sub>
                  <m:r>
                    <w:rPr>
                      <w:rFonts w:ascii="Cambria Math" w:hAnsi="Cambria Math"/>
                      <w:sz w:val="20"/>
                      <w:szCs w:val="20"/>
                    </w:rPr>
                    <m:t>cm</m:t>
                  </m:r>
                </m:sub>
              </m:sSub>
            </m:oMath>
            <w:r>
              <w:rPr>
                <w:sz w:val="20"/>
                <w:szCs w:val="20"/>
              </w:rPr>
              <w:t>≤</w:t>
            </w:r>
            <w:r w:rsidR="00A53470" w:rsidRPr="00D95E6F">
              <w:rPr>
                <w:sz w:val="20"/>
                <w:szCs w:val="20"/>
              </w:rPr>
              <w:t>2</w:t>
            </w:r>
            <w:r>
              <w:rPr>
                <w:sz w:val="20"/>
                <w:szCs w:val="20"/>
              </w:rPr>
              <w:t>δ</w:t>
            </w:r>
          </w:p>
        </w:tc>
        <w:tc>
          <w:tcPr>
            <w:tcW w:w="2700" w:type="dxa"/>
            <w:tcBorders>
              <w:top w:val="nil"/>
              <w:left w:val="single" w:sz="12" w:space="0" w:color="5B9BD5" w:themeColor="accent1"/>
              <w:bottom w:val="nil"/>
              <w:right w:val="nil"/>
            </w:tcBorders>
            <w:vAlign w:val="center"/>
          </w:tcPr>
          <w:p w14:paraId="3BF82499" w14:textId="77777777" w:rsidR="00A53470" w:rsidRPr="00D95E6F" w:rsidRDefault="00A53470" w:rsidP="008A4C54">
            <w:pPr>
              <w:pStyle w:val="ListParagraph"/>
              <w:ind w:left="0"/>
              <w:jc w:val="center"/>
              <w:rPr>
                <w:sz w:val="20"/>
                <w:szCs w:val="20"/>
              </w:rPr>
            </w:pPr>
          </w:p>
        </w:tc>
      </w:tr>
      <w:tr w:rsidR="00A53470" w:rsidRPr="00D95E6F" w14:paraId="5C950A04" w14:textId="77777777" w:rsidTr="008A4C54">
        <w:trPr>
          <w:trHeight w:val="426"/>
        </w:trPr>
        <w:tc>
          <w:tcPr>
            <w:tcW w:w="870" w:type="dxa"/>
            <w:tcBorders>
              <w:top w:val="nil"/>
              <w:left w:val="single" w:sz="12" w:space="0" w:color="5B9BD5" w:themeColor="accent1"/>
              <w:bottom w:val="nil"/>
              <w:right w:val="single" w:sz="12" w:space="0" w:color="5B9BD5" w:themeColor="accent1"/>
            </w:tcBorders>
            <w:vAlign w:val="center"/>
          </w:tcPr>
          <w:p w14:paraId="69D81DDF" w14:textId="77777777" w:rsidR="00A53470" w:rsidRPr="00D95E6F" w:rsidRDefault="00A53470" w:rsidP="008A4C54">
            <w:pPr>
              <w:pStyle w:val="ListParagraph"/>
              <w:ind w:left="0"/>
              <w:jc w:val="center"/>
              <w:rPr>
                <w:b/>
                <w:sz w:val="20"/>
                <w:szCs w:val="20"/>
              </w:rPr>
            </w:pPr>
            <w:r w:rsidRPr="00D95E6F">
              <w:rPr>
                <w:b/>
                <w:sz w:val="20"/>
                <w:szCs w:val="20"/>
              </w:rPr>
              <w:t>4</w:t>
            </w:r>
          </w:p>
        </w:tc>
        <w:tc>
          <w:tcPr>
            <w:tcW w:w="2424" w:type="dxa"/>
            <w:tcBorders>
              <w:top w:val="nil"/>
              <w:left w:val="single" w:sz="12" w:space="0" w:color="5B9BD5" w:themeColor="accent1"/>
              <w:bottom w:val="nil"/>
              <w:right w:val="single" w:sz="12" w:space="0" w:color="5B9BD5" w:themeColor="accent1"/>
            </w:tcBorders>
            <w:vAlign w:val="center"/>
          </w:tcPr>
          <w:p w14:paraId="22FEE47B" w14:textId="09D8EEA7" w:rsidR="00A53470" w:rsidRPr="00D95E6F" w:rsidRDefault="00A53470" w:rsidP="008A4C54">
            <w:pPr>
              <w:pStyle w:val="ListParagraph"/>
              <w:ind w:left="0"/>
              <w:jc w:val="center"/>
              <w:rPr>
                <w:sz w:val="20"/>
                <w:szCs w:val="20"/>
              </w:rPr>
            </w:pPr>
            <w:r w:rsidRPr="00D95E6F">
              <w:rPr>
                <w:sz w:val="20"/>
                <w:szCs w:val="20"/>
              </w:rPr>
              <w:t>2</w:t>
            </w:r>
            <w:r w:rsidR="001506C7">
              <w:rPr>
                <w:sz w:val="20"/>
                <w:szCs w:val="20"/>
              </w:rPr>
              <w:t>δ</w:t>
            </w:r>
            <w:r w:rsidRPr="00D95E6F">
              <w:rPr>
                <w:sz w:val="20"/>
                <w:szCs w:val="20"/>
              </w:rPr>
              <w:t xml:space="preserve"> &lt; </w:t>
            </w:r>
            <m:oMath>
              <m:sSub>
                <m:sSubPr>
                  <m:ctrlPr>
                    <w:rPr>
                      <w:rFonts w:ascii="Cambria Math" w:hAnsi="Cambria Math"/>
                      <w:i/>
                      <w:iCs/>
                      <w:sz w:val="20"/>
                      <w:szCs w:val="20"/>
                    </w:rPr>
                  </m:ctrlPr>
                </m:sSubPr>
                <m:e>
                  <m:r>
                    <w:rPr>
                      <w:rFonts w:ascii="Cambria Math" w:hAnsi="Cambria Math"/>
                      <w:sz w:val="20"/>
                      <w:szCs w:val="20"/>
                    </w:rPr>
                    <m:t>SG_SFE</m:t>
                  </m:r>
                </m:e>
                <m:sub>
                  <m:r>
                    <w:rPr>
                      <w:rFonts w:ascii="Cambria Math" w:hAnsi="Cambria Math"/>
                      <w:sz w:val="20"/>
                      <w:szCs w:val="20"/>
                    </w:rPr>
                    <m:t>cm</m:t>
                  </m:r>
                </m:sub>
              </m:sSub>
            </m:oMath>
            <w:r w:rsidR="001506C7">
              <w:rPr>
                <w:sz w:val="20"/>
                <w:szCs w:val="20"/>
              </w:rPr>
              <w:t>≤</w:t>
            </w:r>
            <w:r w:rsidRPr="00D95E6F">
              <w:rPr>
                <w:sz w:val="20"/>
                <w:szCs w:val="20"/>
              </w:rPr>
              <w:t>3</w:t>
            </w:r>
            <w:r w:rsidR="001506C7">
              <w:rPr>
                <w:sz w:val="20"/>
                <w:szCs w:val="20"/>
              </w:rPr>
              <w:t>δ</w:t>
            </w:r>
          </w:p>
        </w:tc>
        <w:tc>
          <w:tcPr>
            <w:tcW w:w="2700" w:type="dxa"/>
            <w:tcBorders>
              <w:top w:val="nil"/>
              <w:left w:val="single" w:sz="12" w:space="0" w:color="5B9BD5" w:themeColor="accent1"/>
              <w:bottom w:val="nil"/>
              <w:right w:val="nil"/>
            </w:tcBorders>
            <w:vAlign w:val="center"/>
          </w:tcPr>
          <w:p w14:paraId="27900ED0" w14:textId="77777777" w:rsidR="00A53470" w:rsidRPr="00D95E6F" w:rsidRDefault="00A53470" w:rsidP="008A4C54">
            <w:pPr>
              <w:pStyle w:val="ListParagraph"/>
              <w:ind w:left="0"/>
              <w:jc w:val="center"/>
              <w:rPr>
                <w:sz w:val="20"/>
                <w:szCs w:val="20"/>
              </w:rPr>
            </w:pPr>
          </w:p>
        </w:tc>
      </w:tr>
      <w:tr w:rsidR="00A53470" w:rsidRPr="00D95E6F" w14:paraId="7AB2F12D" w14:textId="77777777" w:rsidTr="008A4C54">
        <w:trPr>
          <w:trHeight w:val="426"/>
        </w:trPr>
        <w:tc>
          <w:tcPr>
            <w:tcW w:w="870" w:type="dxa"/>
            <w:tcBorders>
              <w:top w:val="nil"/>
              <w:left w:val="single" w:sz="12" w:space="0" w:color="5B9BD5" w:themeColor="accent1"/>
              <w:bottom w:val="single" w:sz="12" w:space="0" w:color="5B9BD5" w:themeColor="accent1"/>
              <w:right w:val="single" w:sz="12" w:space="0" w:color="5B9BD5" w:themeColor="accent1"/>
            </w:tcBorders>
            <w:vAlign w:val="center"/>
          </w:tcPr>
          <w:p w14:paraId="5CAE2E18" w14:textId="77777777" w:rsidR="00A53470" w:rsidRPr="00D95E6F" w:rsidRDefault="00A53470" w:rsidP="008A4C54">
            <w:pPr>
              <w:pStyle w:val="ListParagraph"/>
              <w:ind w:left="0"/>
              <w:jc w:val="center"/>
              <w:rPr>
                <w:b/>
                <w:sz w:val="20"/>
                <w:szCs w:val="20"/>
              </w:rPr>
            </w:pPr>
            <w:r w:rsidRPr="00D95E6F">
              <w:rPr>
                <w:b/>
                <w:sz w:val="20"/>
                <w:szCs w:val="20"/>
              </w:rPr>
              <w:t>5</w:t>
            </w:r>
          </w:p>
        </w:tc>
        <w:tc>
          <w:tcPr>
            <w:tcW w:w="2424" w:type="dxa"/>
            <w:tcBorders>
              <w:top w:val="nil"/>
              <w:left w:val="single" w:sz="12" w:space="0" w:color="5B9BD5" w:themeColor="accent1"/>
              <w:bottom w:val="single" w:sz="12" w:space="0" w:color="5B9BD5" w:themeColor="accent1"/>
              <w:right w:val="single" w:sz="12" w:space="0" w:color="5B9BD5" w:themeColor="accent1"/>
            </w:tcBorders>
            <w:vAlign w:val="center"/>
          </w:tcPr>
          <w:p w14:paraId="212B251D" w14:textId="62483F94" w:rsidR="00A53470" w:rsidRPr="00D95E6F" w:rsidRDefault="00A53470" w:rsidP="008A4C54">
            <w:pPr>
              <w:pStyle w:val="ListParagraph"/>
              <w:ind w:left="0"/>
              <w:jc w:val="center"/>
              <w:rPr>
                <w:sz w:val="20"/>
                <w:szCs w:val="20"/>
              </w:rPr>
            </w:pPr>
            <w:r w:rsidRPr="00D95E6F">
              <w:rPr>
                <w:sz w:val="20"/>
                <w:szCs w:val="20"/>
              </w:rPr>
              <w:t>3</w:t>
            </w:r>
            <w:r w:rsidR="001506C7">
              <w:rPr>
                <w:sz w:val="20"/>
                <w:szCs w:val="20"/>
              </w:rPr>
              <w:t>δ</w:t>
            </w:r>
            <w:r w:rsidRPr="00D95E6F">
              <w:rPr>
                <w:sz w:val="20"/>
                <w:szCs w:val="20"/>
              </w:rPr>
              <w:t xml:space="preserve"> &lt; </w:t>
            </w:r>
            <m:oMath>
              <m:sSub>
                <m:sSubPr>
                  <m:ctrlPr>
                    <w:rPr>
                      <w:rFonts w:ascii="Cambria Math" w:hAnsi="Cambria Math"/>
                      <w:i/>
                      <w:iCs/>
                      <w:sz w:val="20"/>
                      <w:szCs w:val="20"/>
                    </w:rPr>
                  </m:ctrlPr>
                </m:sSubPr>
                <m:e>
                  <m:r>
                    <w:rPr>
                      <w:rFonts w:ascii="Cambria Math" w:hAnsi="Cambria Math"/>
                      <w:sz w:val="20"/>
                      <w:szCs w:val="20"/>
                    </w:rPr>
                    <m:t>SG_SFE</m:t>
                  </m:r>
                </m:e>
                <m:sub>
                  <m:r>
                    <w:rPr>
                      <w:rFonts w:ascii="Cambria Math" w:hAnsi="Cambria Math"/>
                      <w:sz w:val="20"/>
                      <w:szCs w:val="20"/>
                    </w:rPr>
                    <m:t>cm</m:t>
                  </m:r>
                </m:sub>
              </m:sSub>
            </m:oMath>
            <w:r w:rsidR="001506C7">
              <w:rPr>
                <w:sz w:val="20"/>
                <w:szCs w:val="20"/>
              </w:rPr>
              <w:t>≤</w:t>
            </w:r>
            <w:r w:rsidRPr="00D95E6F">
              <w:rPr>
                <w:sz w:val="20"/>
                <w:szCs w:val="20"/>
              </w:rPr>
              <w:t>4</w:t>
            </w:r>
            <w:r w:rsidR="001506C7">
              <w:rPr>
                <w:sz w:val="20"/>
                <w:szCs w:val="20"/>
              </w:rPr>
              <w:t>δ</w:t>
            </w:r>
          </w:p>
        </w:tc>
        <w:tc>
          <w:tcPr>
            <w:tcW w:w="2700" w:type="dxa"/>
            <w:tcBorders>
              <w:top w:val="nil"/>
              <w:left w:val="single" w:sz="12" w:space="0" w:color="5B9BD5" w:themeColor="accent1"/>
              <w:bottom w:val="nil"/>
              <w:right w:val="nil"/>
            </w:tcBorders>
            <w:vAlign w:val="center"/>
          </w:tcPr>
          <w:p w14:paraId="0F3B8D93" w14:textId="77777777" w:rsidR="00A53470" w:rsidRPr="00D95E6F" w:rsidRDefault="00A53470" w:rsidP="008A4C54">
            <w:pPr>
              <w:pStyle w:val="ListParagraph"/>
              <w:ind w:left="0"/>
              <w:jc w:val="center"/>
              <w:rPr>
                <w:sz w:val="20"/>
                <w:szCs w:val="20"/>
              </w:rPr>
            </w:pPr>
          </w:p>
        </w:tc>
      </w:tr>
    </w:tbl>
    <w:p w14:paraId="16474B50" w14:textId="77777777" w:rsidR="002D4183" w:rsidRDefault="002D4183" w:rsidP="001115CB">
      <w:pPr>
        <w:jc w:val="both"/>
      </w:pPr>
    </w:p>
    <w:p w14:paraId="4000606A" w14:textId="17403E25" w:rsidR="00681546" w:rsidRDefault="008F5E88" w:rsidP="006877F1">
      <w:pPr>
        <w:jc w:val="both"/>
      </w:pPr>
      <w:r>
        <w:t xml:space="preserve">The SFES is equal to one only if the cost of the food basket is equal or less than the yearly average cost in all of the six upcoming months. </w:t>
      </w:r>
      <w:r w:rsidR="0082608C">
        <w:t>Instead, t</w:t>
      </w:r>
      <w:r>
        <w:t>he upper threshold of the highest class (4*</w:t>
      </w:r>
      <w:r w:rsidRPr="008F5E88">
        <w:rPr>
          <w:sz w:val="20"/>
          <w:szCs w:val="20"/>
        </w:rPr>
        <w:t xml:space="preserve"> </w:t>
      </w:r>
      <w:r>
        <w:rPr>
          <w:sz w:val="20"/>
          <w:szCs w:val="20"/>
        </w:rPr>
        <w:t>δ</w:t>
      </w:r>
      <w:r>
        <w:t xml:space="preserve">) detects the average squared deviation of the six consecutive months with the highest cost of the food basket among all countries. </w:t>
      </w:r>
      <w:r w:rsidR="0082608C">
        <w:t>Thus, t</w:t>
      </w:r>
      <w:r w:rsidR="0082608C" w:rsidRPr="006401C3">
        <w:t xml:space="preserve">he higher the score, the more </w:t>
      </w:r>
      <w:r w:rsidR="0082608C">
        <w:t>on average the cost of the food basket in the six upcoming months</w:t>
      </w:r>
      <w:r w:rsidR="0082608C" w:rsidRPr="006401C3">
        <w:t xml:space="preserve"> </w:t>
      </w:r>
      <w:r w:rsidR="0082608C">
        <w:t>is</w:t>
      </w:r>
      <w:r w:rsidR="0082608C" w:rsidRPr="006401C3">
        <w:t xml:space="preserve"> expected to exceed the average </w:t>
      </w:r>
      <w:r w:rsidR="0082608C">
        <w:t>yearly cost</w:t>
      </w:r>
      <w:r w:rsidR="0082608C" w:rsidRPr="006401C3">
        <w:t>.</w:t>
      </w:r>
    </w:p>
    <w:p w14:paraId="354713A3" w14:textId="3F00F66A" w:rsidR="002D4183" w:rsidRDefault="0082608C" w:rsidP="001115CB">
      <w:pPr>
        <w:jc w:val="both"/>
      </w:pPr>
      <w:r>
        <w:t xml:space="preserve">Similarly to the SFE, </w:t>
      </w:r>
      <w:r w:rsidR="006877F1">
        <w:t>the classes’ boundaries are endogenous</w:t>
      </w:r>
      <w:r>
        <w:t>ly defined.</w:t>
      </w:r>
      <w:r w:rsidR="006877F1">
        <w:t xml:space="preserve"> Consequently, the scores cannot be compared across time, but only across space. </w:t>
      </w:r>
    </w:p>
    <w:p w14:paraId="719EBFD2" w14:textId="3F4EEE28" w:rsidR="008E1664" w:rsidRDefault="00A53470" w:rsidP="0036267A">
      <w:pPr>
        <w:pStyle w:val="Caption"/>
        <w:spacing w:after="0"/>
      </w:pPr>
      <w:bookmarkStart w:id="13" w:name="_Ref459989790"/>
      <w:r>
        <w:t xml:space="preserve">Table </w:t>
      </w:r>
      <w:r w:rsidR="004D0C3D">
        <w:fldChar w:fldCharType="begin"/>
      </w:r>
      <w:r w:rsidR="004D0C3D">
        <w:instrText xml:space="preserve"> SEQ Table \* ARABIC </w:instrText>
      </w:r>
      <w:r w:rsidR="004D0C3D">
        <w:fldChar w:fldCharType="separate"/>
      </w:r>
      <w:r>
        <w:rPr>
          <w:noProof/>
        </w:rPr>
        <w:t>6</w:t>
      </w:r>
      <w:r w:rsidR="004D0C3D">
        <w:rPr>
          <w:noProof/>
        </w:rPr>
        <w:fldChar w:fldCharType="end"/>
      </w:r>
      <w:bookmarkEnd w:id="13"/>
      <w:r>
        <w:t xml:space="preserve"> - The Severity of the Seasonal Food Expenditure Score</w:t>
      </w:r>
    </w:p>
    <w:p w14:paraId="1F82A740" w14:textId="14F885EF" w:rsidR="0036267A" w:rsidRPr="0036267A" w:rsidRDefault="007D7258" w:rsidP="006A40DD">
      <w:pPr>
        <w:spacing w:after="0"/>
      </w:pPr>
      <w:r w:rsidRPr="007D7258">
        <w:rPr>
          <w:noProof/>
        </w:rPr>
        <w:drawing>
          <wp:inline distT="0" distB="0" distL="0" distR="0" wp14:anchorId="2B383BE1" wp14:editId="190AC9DC">
            <wp:extent cx="5828622" cy="265176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28622" cy="2651760"/>
                    </a:xfrm>
                    <a:prstGeom prst="rect">
                      <a:avLst/>
                    </a:prstGeom>
                    <a:noFill/>
                    <a:ln>
                      <a:noFill/>
                    </a:ln>
                  </pic:spPr>
                </pic:pic>
              </a:graphicData>
            </a:graphic>
          </wp:inline>
        </w:drawing>
      </w:r>
    </w:p>
    <w:p w14:paraId="6466BBDA" w14:textId="52C7AEFC" w:rsidR="007A5A43" w:rsidRDefault="006A40DD" w:rsidP="006A40DD">
      <w:pPr>
        <w:rPr>
          <w:i/>
          <w:sz w:val="20"/>
          <w:szCs w:val="20"/>
        </w:rPr>
      </w:pPr>
      <w:r w:rsidRPr="00F2268B">
        <w:rPr>
          <w:i/>
          <w:sz w:val="20"/>
          <w:szCs w:val="20"/>
        </w:rPr>
        <w:t>Not</w:t>
      </w:r>
      <w:r>
        <w:rPr>
          <w:i/>
          <w:sz w:val="20"/>
          <w:szCs w:val="20"/>
        </w:rPr>
        <w:t>e: extracted on August 11, 2016</w:t>
      </w:r>
    </w:p>
    <w:p w14:paraId="724F28D4" w14:textId="3229C236" w:rsidR="00291092" w:rsidRDefault="00431352" w:rsidP="00291092">
      <w:pPr>
        <w:jc w:val="both"/>
      </w:pPr>
      <w:r>
        <w:t xml:space="preserve">The complete </w:t>
      </w:r>
      <w:r w:rsidRPr="00610DCD">
        <w:rPr>
          <w:i/>
        </w:rPr>
        <w:t xml:space="preserve">c x 12 </w:t>
      </w:r>
      <w:r>
        <w:t>matrix containing the SFEs and the values of the classes’</w:t>
      </w:r>
      <w:r w:rsidR="004F5A9C">
        <w:t xml:space="preserve"> boundaries are reported as A</w:t>
      </w:r>
      <w:r>
        <w:t>nnex</w:t>
      </w:r>
      <w:r w:rsidR="004F5A9C">
        <w:t xml:space="preserve"> III</w:t>
      </w:r>
      <w:r>
        <w:t xml:space="preserve"> in a separate excel file. </w:t>
      </w:r>
    </w:p>
    <w:p w14:paraId="5E6F9D5A" w14:textId="77777777" w:rsidR="00131ADE" w:rsidRPr="00291092" w:rsidRDefault="00131ADE" w:rsidP="00291092">
      <w:pPr>
        <w:jc w:val="both"/>
      </w:pPr>
      <w:bookmarkStart w:id="14" w:name="_GoBack"/>
      <w:bookmarkEnd w:id="14"/>
    </w:p>
    <w:bookmarkStart w:id="15" w:name="_Toc460226858" w:displacedByCustomXml="next"/>
    <w:sdt>
      <w:sdtPr>
        <w:rPr>
          <w:rFonts w:asciiTheme="minorHAnsi" w:eastAsiaTheme="minorHAnsi" w:hAnsiTheme="minorHAnsi" w:cstheme="minorBidi"/>
          <w:color w:val="auto"/>
          <w:sz w:val="22"/>
          <w:szCs w:val="22"/>
        </w:rPr>
        <w:id w:val="1102227071"/>
        <w:docPartObj>
          <w:docPartGallery w:val="Bibliographies"/>
          <w:docPartUnique/>
        </w:docPartObj>
      </w:sdtPr>
      <w:sdtEndPr/>
      <w:sdtContent>
        <w:p w14:paraId="4DF5289F" w14:textId="01BBE06B" w:rsidR="00385186" w:rsidRDefault="00385186">
          <w:pPr>
            <w:pStyle w:val="Heading1"/>
          </w:pPr>
          <w:r>
            <w:t>References</w:t>
          </w:r>
          <w:bookmarkEnd w:id="15"/>
        </w:p>
        <w:sdt>
          <w:sdtPr>
            <w:id w:val="-573587230"/>
            <w:bibliography/>
          </w:sdtPr>
          <w:sdtEndPr/>
          <w:sdtContent>
            <w:p w14:paraId="754A1A8C" w14:textId="77777777" w:rsidR="009A621F" w:rsidRDefault="00385186" w:rsidP="009A621F">
              <w:pPr>
                <w:pStyle w:val="Bibliography"/>
                <w:ind w:left="720" w:hanging="720"/>
                <w:rPr>
                  <w:noProof/>
                  <w:sz w:val="24"/>
                  <w:szCs w:val="24"/>
                </w:rPr>
              </w:pPr>
              <w:r>
                <w:fldChar w:fldCharType="begin"/>
              </w:r>
              <w:r>
                <w:instrText xml:space="preserve"> BIBLIOGRAPHY </w:instrText>
              </w:r>
              <w:r>
                <w:fldChar w:fldCharType="separate"/>
              </w:r>
              <w:r w:rsidR="009A621F">
                <w:rPr>
                  <w:noProof/>
                </w:rPr>
                <w:t xml:space="preserve">Banerjee, A., &amp; Duflo, E. (2007). The Economic Lives of the Poor. </w:t>
              </w:r>
              <w:r w:rsidR="009A621F">
                <w:rPr>
                  <w:i/>
                  <w:iCs/>
                  <w:noProof/>
                </w:rPr>
                <w:t>Journal of Economic Perspective</w:t>
              </w:r>
              <w:r w:rsidR="009A621F">
                <w:rPr>
                  <w:noProof/>
                </w:rPr>
                <w:t>, 141-167.</w:t>
              </w:r>
            </w:p>
            <w:p w14:paraId="36E95D41" w14:textId="77777777" w:rsidR="009A621F" w:rsidRDefault="009A621F" w:rsidP="009A621F">
              <w:pPr>
                <w:pStyle w:val="Bibliography"/>
                <w:ind w:left="720" w:hanging="720"/>
                <w:rPr>
                  <w:noProof/>
                </w:rPr>
              </w:pPr>
              <w:r>
                <w:rPr>
                  <w:noProof/>
                </w:rPr>
                <w:t xml:space="preserve">Deaton, A. (1980). The Measurement of Welfare: Theory and Practical Guidelines. </w:t>
              </w:r>
              <w:r>
                <w:rPr>
                  <w:i/>
                  <w:iCs/>
                  <w:noProof/>
                </w:rPr>
                <w:t>LSMS Working Paper</w:t>
              </w:r>
              <w:r>
                <w:rPr>
                  <w:noProof/>
                </w:rPr>
                <w:t>(7).</w:t>
              </w:r>
            </w:p>
            <w:p w14:paraId="31AB4BC6" w14:textId="77777777" w:rsidR="009A621F" w:rsidRDefault="009A621F" w:rsidP="009A621F">
              <w:pPr>
                <w:pStyle w:val="Bibliography"/>
                <w:ind w:left="720" w:hanging="720"/>
                <w:rPr>
                  <w:noProof/>
                </w:rPr>
              </w:pPr>
              <w:r>
                <w:rPr>
                  <w:noProof/>
                </w:rPr>
                <w:t>FAO. (2016). GIEWS Food Price Data and Analysis Tool. Rome, IT. Retrieved from http://www.foodsecurityportal.org/fao-giews-food-price-data-and-analysis-tool?print</w:t>
              </w:r>
            </w:p>
            <w:p w14:paraId="1386B782" w14:textId="77777777" w:rsidR="009A621F" w:rsidRDefault="009A621F" w:rsidP="009A621F">
              <w:pPr>
                <w:pStyle w:val="Bibliography"/>
                <w:ind w:left="720" w:hanging="720"/>
                <w:rPr>
                  <w:noProof/>
                </w:rPr>
              </w:pPr>
              <w:r>
                <w:rPr>
                  <w:noProof/>
                </w:rPr>
                <w:t xml:space="preserve">Foster, J., Greer, J., &amp; Thorbecke, E. (1984). A Class of Decomposable Poverty Measures. </w:t>
              </w:r>
              <w:r>
                <w:rPr>
                  <w:i/>
                  <w:iCs/>
                  <w:noProof/>
                </w:rPr>
                <w:t>Econometrica</w:t>
              </w:r>
              <w:r>
                <w:rPr>
                  <w:noProof/>
                </w:rPr>
                <w:t>, 761-766.</w:t>
              </w:r>
            </w:p>
            <w:p w14:paraId="323AC221" w14:textId="77777777" w:rsidR="009A621F" w:rsidRDefault="009A621F" w:rsidP="009A621F">
              <w:pPr>
                <w:pStyle w:val="Bibliography"/>
                <w:ind w:left="720" w:hanging="720"/>
                <w:rPr>
                  <w:noProof/>
                </w:rPr>
              </w:pPr>
              <w:r>
                <w:rPr>
                  <w:noProof/>
                </w:rPr>
                <w:t xml:space="preserve">Ittig, P. T. (2004). Comparison of Efficient Seasonal Indexes. </w:t>
              </w:r>
              <w:r>
                <w:rPr>
                  <w:i/>
                  <w:iCs/>
                  <w:noProof/>
                </w:rPr>
                <w:t>Journal of Applied Mathematics and Decision Sciences</w:t>
              </w:r>
              <w:r>
                <w:rPr>
                  <w:noProof/>
                </w:rPr>
                <w:t>, 87-105.</w:t>
              </w:r>
            </w:p>
            <w:p w14:paraId="133645E8" w14:textId="77777777" w:rsidR="009A621F" w:rsidRDefault="009A621F" w:rsidP="009A621F">
              <w:pPr>
                <w:pStyle w:val="Bibliography"/>
                <w:ind w:left="720" w:hanging="720"/>
                <w:rPr>
                  <w:noProof/>
                </w:rPr>
              </w:pPr>
              <w:r>
                <w:rPr>
                  <w:noProof/>
                </w:rPr>
                <w:t xml:space="preserve">Regmi, A., Deepak, M., Seale, J. L., &amp; Bernstein, J. (2001, May). Changing Structure of Global Food Consumption and Trade. (A. Regmi, Ed.) </w:t>
              </w:r>
              <w:r>
                <w:rPr>
                  <w:i/>
                  <w:iCs/>
                  <w:noProof/>
                </w:rPr>
                <w:t>WRS: International Agriculture and Trade Outlook</w:t>
              </w:r>
              <w:r>
                <w:rPr>
                  <w:noProof/>
                </w:rPr>
                <w:t>(01-1), pp. 14-22. Retrieved from http://www.ers.usda.gov/media/293645/wrs011_1_.pdf</w:t>
              </w:r>
            </w:p>
            <w:p w14:paraId="2424878F" w14:textId="77777777" w:rsidR="009A621F" w:rsidRDefault="009A621F" w:rsidP="009A621F">
              <w:pPr>
                <w:pStyle w:val="Bibliography"/>
                <w:ind w:left="720" w:hanging="720"/>
                <w:rPr>
                  <w:noProof/>
                </w:rPr>
              </w:pPr>
              <w:r>
                <w:rPr>
                  <w:noProof/>
                </w:rPr>
                <w:t>WFP. (2016). VAM Food and Commodity Prices Data Store. Rome, IT. Retrieved from http://foodprices.vam.wfp.org/</w:t>
              </w:r>
            </w:p>
            <w:p w14:paraId="28714E38" w14:textId="77777777" w:rsidR="009A621F" w:rsidRDefault="009A621F" w:rsidP="009A621F">
              <w:pPr>
                <w:pStyle w:val="Bibliography"/>
                <w:ind w:left="720" w:hanging="720"/>
                <w:rPr>
                  <w:noProof/>
                </w:rPr>
              </w:pPr>
              <w:r>
                <w:rPr>
                  <w:noProof/>
                </w:rPr>
                <w:t>World Bank. (2014). Introduction to poverty analysis. Washington, DC.</w:t>
              </w:r>
            </w:p>
            <w:p w14:paraId="1DD288F2" w14:textId="77777777" w:rsidR="009A621F" w:rsidRDefault="009A621F" w:rsidP="009A621F">
              <w:pPr>
                <w:pStyle w:val="Bibliography"/>
                <w:ind w:left="720" w:hanging="720"/>
                <w:rPr>
                  <w:noProof/>
                </w:rPr>
              </w:pPr>
              <w:r>
                <w:rPr>
                  <w:noProof/>
                </w:rPr>
                <w:t xml:space="preserve">World Food Programme. (2016, July). </w:t>
              </w:r>
              <w:r>
                <w:rPr>
                  <w:i/>
                  <w:iCs/>
                  <w:noProof/>
                </w:rPr>
                <w:t>The Market Monitor.</w:t>
              </w:r>
              <w:r>
                <w:rPr>
                  <w:noProof/>
                </w:rPr>
                <w:t xml:space="preserve"> Retrieved from http://www.wfp.org/content/market-monitor.</w:t>
              </w:r>
            </w:p>
            <w:p w14:paraId="51243899" w14:textId="46C1089E" w:rsidR="00385186" w:rsidRDefault="00385186" w:rsidP="009A621F">
              <w:pPr>
                <w:pStyle w:val="Bibliography"/>
                <w:rPr>
                  <w:noProof/>
                </w:rPr>
              </w:pPr>
              <w:r>
                <w:rPr>
                  <w:b/>
                  <w:bCs/>
                  <w:noProof/>
                </w:rPr>
                <w:fldChar w:fldCharType="end"/>
              </w:r>
            </w:p>
          </w:sdtContent>
        </w:sdt>
      </w:sdtContent>
    </w:sdt>
    <w:p w14:paraId="0EFB8F85" w14:textId="56F834E9" w:rsidR="00BC4400" w:rsidRDefault="00BC4400" w:rsidP="00FB4676"/>
    <w:p w14:paraId="53D08998" w14:textId="0B12B4C6" w:rsidR="00BC4400" w:rsidRDefault="00BC4400" w:rsidP="00FB4676"/>
    <w:p w14:paraId="31E805AE" w14:textId="67ADD982" w:rsidR="00BC4400" w:rsidRDefault="00BC4400" w:rsidP="00FB4676"/>
    <w:p w14:paraId="5308013C" w14:textId="77777777" w:rsidR="00BC4400" w:rsidRDefault="00BC4400" w:rsidP="00FB4676"/>
    <w:p w14:paraId="497F2748" w14:textId="137E384E" w:rsidR="00BC4400" w:rsidRDefault="00BC4400" w:rsidP="00FB4676"/>
    <w:p w14:paraId="3C20F651" w14:textId="77777777" w:rsidR="00BC4400" w:rsidRDefault="00BC4400" w:rsidP="00FB4676"/>
    <w:p w14:paraId="4DFBE188" w14:textId="77777777" w:rsidR="00BC4400" w:rsidRDefault="00BC4400" w:rsidP="00FB4676"/>
    <w:p w14:paraId="6032BA05" w14:textId="77777777" w:rsidR="00BC4400" w:rsidRDefault="00BC4400" w:rsidP="00FB4676"/>
    <w:sectPr w:rsidR="00BC4400" w:rsidSect="00BC4400">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25985" w14:textId="77777777" w:rsidR="004D0C3D" w:rsidRDefault="004D0C3D" w:rsidP="004845A3">
      <w:pPr>
        <w:spacing w:after="0" w:line="240" w:lineRule="auto"/>
      </w:pPr>
      <w:r>
        <w:separator/>
      </w:r>
    </w:p>
  </w:endnote>
  <w:endnote w:type="continuationSeparator" w:id="0">
    <w:p w14:paraId="253EE1F1" w14:textId="77777777" w:rsidR="004D0C3D" w:rsidRDefault="004D0C3D" w:rsidP="00484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0AC94" w14:textId="77777777" w:rsidR="004D0C3D" w:rsidRDefault="004D0C3D" w:rsidP="004845A3">
      <w:pPr>
        <w:spacing w:after="0" w:line="240" w:lineRule="auto"/>
      </w:pPr>
      <w:r>
        <w:separator/>
      </w:r>
    </w:p>
  </w:footnote>
  <w:footnote w:type="continuationSeparator" w:id="0">
    <w:p w14:paraId="51676C17" w14:textId="77777777" w:rsidR="004D0C3D" w:rsidRDefault="004D0C3D" w:rsidP="004845A3">
      <w:pPr>
        <w:spacing w:after="0" w:line="240" w:lineRule="auto"/>
      </w:pPr>
      <w:r>
        <w:continuationSeparator/>
      </w:r>
    </w:p>
  </w:footnote>
  <w:footnote w:id="1">
    <w:p w14:paraId="0E2C5DF2" w14:textId="66D102A8" w:rsidR="008A4C54" w:rsidRDefault="008A4C54" w:rsidP="001E3599">
      <w:pPr>
        <w:pStyle w:val="FootnoteText"/>
      </w:pPr>
      <w:r>
        <w:rPr>
          <w:rStyle w:val="FootnoteReference"/>
        </w:rPr>
        <w:footnoteRef/>
      </w:r>
      <w:r>
        <w:t xml:space="preserve"> </w:t>
      </w:r>
      <w:r>
        <w:rPr>
          <w:rFonts w:cstheme="minorHAnsi"/>
          <w:sz w:val="16"/>
          <w:szCs w:val="16"/>
        </w:rPr>
        <w:t>RMB will use the SFES</w:t>
      </w:r>
      <w:r w:rsidRPr="00CD4261">
        <w:rPr>
          <w:rFonts w:cstheme="minorHAnsi"/>
          <w:sz w:val="16"/>
          <w:szCs w:val="16"/>
        </w:rPr>
        <w:t xml:space="preserve"> in conjunction with other indicators</w:t>
      </w:r>
      <w:r>
        <w:rPr>
          <w:rFonts w:cstheme="minorHAnsi"/>
          <w:sz w:val="16"/>
          <w:szCs w:val="16"/>
        </w:rPr>
        <w:t xml:space="preserve"> (i.e. I</w:t>
      </w:r>
      <w:r w:rsidRPr="007A3CB6">
        <w:rPr>
          <w:rFonts w:cstheme="minorHAnsi"/>
          <w:sz w:val="16"/>
          <w:szCs w:val="16"/>
        </w:rPr>
        <w:t>FPRI Global Hunger Index and a qualitative “Regional Attention” indicator</w:t>
      </w:r>
      <w:r>
        <w:rPr>
          <w:rFonts w:cstheme="minorHAnsi"/>
          <w:sz w:val="16"/>
          <w:szCs w:val="16"/>
        </w:rPr>
        <w:t>)</w:t>
      </w:r>
      <w:r w:rsidRPr="00CD4261">
        <w:rPr>
          <w:rFonts w:cstheme="minorHAnsi"/>
          <w:sz w:val="16"/>
          <w:szCs w:val="16"/>
        </w:rPr>
        <w:t xml:space="preserve"> to prioritize countries and allocate multilateral funds.</w:t>
      </w:r>
    </w:p>
  </w:footnote>
  <w:footnote w:id="2">
    <w:p w14:paraId="39D057BF" w14:textId="77777777" w:rsidR="008A4C54" w:rsidRPr="009B14EE" w:rsidRDefault="008A4C54" w:rsidP="00DD7284">
      <w:pPr>
        <w:pStyle w:val="FootnoteText"/>
        <w:rPr>
          <w:sz w:val="16"/>
          <w:szCs w:val="16"/>
        </w:rPr>
      </w:pPr>
      <w:r w:rsidRPr="009B14EE">
        <w:rPr>
          <w:rStyle w:val="FootnoteReference"/>
          <w:sz w:val="16"/>
          <w:szCs w:val="16"/>
        </w:rPr>
        <w:footnoteRef/>
      </w:r>
      <w:r w:rsidRPr="009B14EE">
        <w:rPr>
          <w:sz w:val="16"/>
          <w:szCs w:val="16"/>
        </w:rPr>
        <w:t xml:space="preserve"> </w:t>
      </w:r>
      <w:r w:rsidRPr="009B14EE">
        <w:rPr>
          <w:rFonts w:cstheme="minorHAnsi"/>
          <w:sz w:val="16"/>
          <w:szCs w:val="16"/>
        </w:rPr>
        <w:t>The number and list of countries is contingent upon data availability.</w:t>
      </w:r>
      <w:r w:rsidRPr="009B14EE">
        <w:rPr>
          <w:sz w:val="16"/>
          <w:szCs w:val="16"/>
        </w:rPr>
        <w:t xml:space="preserve"> </w:t>
      </w:r>
      <w:r w:rsidRPr="009B14EE">
        <w:rPr>
          <w:rFonts w:cstheme="minorHAnsi"/>
          <w:sz w:val="16"/>
          <w:szCs w:val="16"/>
        </w:rPr>
        <w:t xml:space="preserve">As more data becomes available, more countries </w:t>
      </w:r>
      <w:r>
        <w:rPr>
          <w:rFonts w:cstheme="minorHAnsi"/>
          <w:sz w:val="16"/>
          <w:szCs w:val="16"/>
        </w:rPr>
        <w:t>can be added to the analysis.</w:t>
      </w:r>
    </w:p>
  </w:footnote>
  <w:footnote w:id="3">
    <w:p w14:paraId="22F02B9F" w14:textId="77777777" w:rsidR="008A4C54" w:rsidRPr="003D0A60" w:rsidRDefault="008A4C54" w:rsidP="00507F0C">
      <w:pPr>
        <w:pStyle w:val="FootnoteText"/>
        <w:rPr>
          <w:lang w:val="en-US"/>
        </w:rPr>
      </w:pPr>
      <w:r>
        <w:rPr>
          <w:rStyle w:val="FootnoteReference"/>
        </w:rPr>
        <w:footnoteRef/>
      </w:r>
      <w:r>
        <w:t xml:space="preserve"> </w:t>
      </w:r>
      <w:r w:rsidRPr="003D0A60">
        <w:rPr>
          <w:rFonts w:cstheme="minorHAnsi"/>
          <w:sz w:val="16"/>
          <w:szCs w:val="16"/>
        </w:rPr>
        <w:t>i.e. the lowest average price in the last 3 years</w:t>
      </w:r>
    </w:p>
  </w:footnote>
  <w:footnote w:id="4">
    <w:p w14:paraId="3B1792D8" w14:textId="77777777" w:rsidR="008A4C54" w:rsidRPr="005951FD" w:rsidRDefault="008A4C54" w:rsidP="005951FD">
      <w:pPr>
        <w:pStyle w:val="FootnoteText"/>
        <w:rPr>
          <w:lang w:val="en-US"/>
        </w:rPr>
      </w:pPr>
      <w:r>
        <w:rPr>
          <w:rStyle w:val="FootnoteReference"/>
        </w:rPr>
        <w:footnoteRef/>
      </w:r>
      <w:r>
        <w:t xml:space="preserve"> </w:t>
      </w:r>
      <w:r w:rsidRPr="005951FD">
        <w:rPr>
          <w:rFonts w:cstheme="minorHAnsi"/>
          <w:sz w:val="16"/>
          <w:szCs w:val="16"/>
        </w:rPr>
        <w:t>Series should at least cover 3 years, have less than 30% data gap and have at least one observation for all months</w:t>
      </w:r>
      <w:r>
        <w:rPr>
          <w:rFonts w:cstheme="minorHAnsi"/>
          <w:sz w:val="16"/>
          <w:szCs w:val="16"/>
        </w:rPr>
        <w:t>.</w:t>
      </w:r>
    </w:p>
  </w:footnote>
  <w:footnote w:id="5">
    <w:p w14:paraId="28B53F48" w14:textId="08AC136C" w:rsidR="008A4C54" w:rsidRPr="000B167D" w:rsidRDefault="008A4C54" w:rsidP="0014756C">
      <w:pPr>
        <w:pStyle w:val="FootnoteText"/>
        <w:rPr>
          <w:lang w:val="en-US"/>
        </w:rPr>
      </w:pPr>
      <w:r>
        <w:rPr>
          <w:rStyle w:val="FootnoteReference"/>
        </w:rPr>
        <w:footnoteRef/>
      </w:r>
      <w:r>
        <w:t xml:space="preserve"> </w:t>
      </w:r>
      <w:r>
        <w:rPr>
          <w:rFonts w:cstheme="minorHAnsi"/>
          <w:sz w:val="16"/>
          <w:szCs w:val="16"/>
        </w:rPr>
        <w:t>Source:</w:t>
      </w:r>
      <w:r w:rsidRPr="000B167D">
        <w:rPr>
          <w:rFonts w:cstheme="minorHAnsi"/>
          <w:sz w:val="16"/>
          <w:szCs w:val="16"/>
        </w:rPr>
        <w:t xml:space="preserve"> The Market Monitor, quarterly publication</w:t>
      </w:r>
      <w:r>
        <w:rPr>
          <w:rFonts w:cstheme="minorHAnsi"/>
          <w:sz w:val="16"/>
          <w:szCs w:val="16"/>
        </w:rPr>
        <w:t xml:space="preserve"> </w:t>
      </w:r>
      <w:sdt>
        <w:sdtPr>
          <w:rPr>
            <w:rFonts w:cstheme="minorHAnsi"/>
            <w:sz w:val="16"/>
            <w:szCs w:val="16"/>
          </w:rPr>
          <w:id w:val="748310463"/>
          <w:citation/>
        </w:sdtPr>
        <w:sdtEndPr/>
        <w:sdtContent>
          <w:r>
            <w:rPr>
              <w:rFonts w:cstheme="minorHAnsi"/>
              <w:sz w:val="16"/>
              <w:szCs w:val="16"/>
            </w:rPr>
            <w:fldChar w:fldCharType="begin"/>
          </w:r>
          <w:r>
            <w:rPr>
              <w:rFonts w:cstheme="minorHAnsi"/>
              <w:sz w:val="16"/>
              <w:szCs w:val="16"/>
              <w:lang w:val="en-US"/>
            </w:rPr>
            <w:instrText xml:space="preserve"> CITATION Wor16 \l 1033 </w:instrText>
          </w:r>
          <w:r>
            <w:rPr>
              <w:rFonts w:cstheme="minorHAnsi"/>
              <w:sz w:val="16"/>
              <w:szCs w:val="16"/>
            </w:rPr>
            <w:fldChar w:fldCharType="separate"/>
          </w:r>
          <w:r w:rsidR="009A621F" w:rsidRPr="009A621F">
            <w:rPr>
              <w:rFonts w:cstheme="minorHAnsi"/>
              <w:noProof/>
              <w:sz w:val="16"/>
              <w:szCs w:val="16"/>
              <w:lang w:val="en-US"/>
            </w:rPr>
            <w:t>(World Food Programme, 2016)</w:t>
          </w:r>
          <w:r>
            <w:rPr>
              <w:rFonts w:cstheme="minorHAnsi"/>
              <w:sz w:val="16"/>
              <w:szCs w:val="16"/>
            </w:rPr>
            <w:fldChar w:fldCharType="end"/>
          </w:r>
        </w:sdtContent>
      </w:sdt>
    </w:p>
  </w:footnote>
  <w:footnote w:id="6">
    <w:p w14:paraId="0E0BC028" w14:textId="66989AC9" w:rsidR="008A4C54" w:rsidRPr="00E81DFA" w:rsidRDefault="008A4C54" w:rsidP="0014756C">
      <w:pPr>
        <w:pStyle w:val="FootnoteText"/>
        <w:rPr>
          <w:lang w:val="en-US"/>
        </w:rPr>
      </w:pPr>
      <w:r>
        <w:rPr>
          <w:rStyle w:val="FootnoteReference"/>
        </w:rPr>
        <w:footnoteRef/>
      </w:r>
      <w:r>
        <w:t xml:space="preserve"> </w:t>
      </w:r>
      <w:r>
        <w:rPr>
          <w:rFonts w:cstheme="minorHAnsi"/>
          <w:sz w:val="16"/>
          <w:szCs w:val="16"/>
        </w:rPr>
        <w:t>Source: NutVal 4</w:t>
      </w:r>
      <w:r w:rsidRPr="00E81DFA">
        <w:rPr>
          <w:rFonts w:cstheme="minorHAnsi"/>
          <w:sz w:val="16"/>
          <w:szCs w:val="16"/>
        </w:rPr>
        <w:t xml:space="preserve"> (http://www.nutval.net/2007/05/downloads-page.html)</w:t>
      </w:r>
    </w:p>
  </w:footnote>
  <w:footnote w:id="7">
    <w:p w14:paraId="729E7093" w14:textId="77777777" w:rsidR="008A4C54" w:rsidRPr="009465D0" w:rsidRDefault="008A4C54" w:rsidP="0014756C">
      <w:pPr>
        <w:pStyle w:val="FootnoteText"/>
        <w:rPr>
          <w:lang w:val="en-US"/>
        </w:rPr>
      </w:pPr>
      <w:r>
        <w:rPr>
          <w:rStyle w:val="FootnoteReference"/>
        </w:rPr>
        <w:footnoteRef/>
      </w:r>
      <w:r>
        <w:t xml:space="preserve"> </w:t>
      </w:r>
      <w:r w:rsidRPr="009465D0">
        <w:rPr>
          <w:rFonts w:cstheme="minorHAnsi"/>
          <w:sz w:val="16"/>
          <w:szCs w:val="16"/>
        </w:rPr>
        <w:t>Source: VAM Food Price Database, partly integrated by the FAO/GIEWS Food Price Database.</w:t>
      </w:r>
    </w:p>
  </w:footnote>
  <w:footnote w:id="8">
    <w:p w14:paraId="38F4A8CA" w14:textId="350DFC0A" w:rsidR="008A4C54" w:rsidRPr="006B6FD7" w:rsidRDefault="008A4C54">
      <w:pPr>
        <w:pStyle w:val="FootnoteText"/>
        <w:rPr>
          <w:lang w:val="en-US"/>
        </w:rPr>
      </w:pPr>
      <w:r>
        <w:rPr>
          <w:rStyle w:val="FootnoteReference"/>
        </w:rPr>
        <w:footnoteRef/>
      </w:r>
      <w:r>
        <w:t xml:space="preserve"> </w:t>
      </w:r>
      <w:r>
        <w:rPr>
          <w:lang w:val="en-US"/>
        </w:rPr>
        <w:t>e is the base of the natural logarithm, approximately equal to 2.71828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75626"/>
    <w:multiLevelType w:val="hybridMultilevel"/>
    <w:tmpl w:val="823E24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75C74"/>
    <w:multiLevelType w:val="hybridMultilevel"/>
    <w:tmpl w:val="2C32F0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E62DC"/>
    <w:multiLevelType w:val="hybridMultilevel"/>
    <w:tmpl w:val="4A9468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D2472"/>
    <w:multiLevelType w:val="hybridMultilevel"/>
    <w:tmpl w:val="CD34EA76"/>
    <w:lvl w:ilvl="0" w:tplc="7944A296">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1AF3B0A"/>
    <w:multiLevelType w:val="hybridMultilevel"/>
    <w:tmpl w:val="71ECE6A8"/>
    <w:lvl w:ilvl="0" w:tplc="733AF848">
      <w:start w:val="1"/>
      <w:numFmt w:val="bullet"/>
      <w:lvlText w:val=""/>
      <w:lvlJc w:val="left"/>
      <w:pPr>
        <w:tabs>
          <w:tab w:val="num" w:pos="720"/>
        </w:tabs>
        <w:ind w:left="720" w:hanging="360"/>
      </w:pPr>
      <w:rPr>
        <w:rFonts w:ascii="Wingdings" w:hAnsi="Wingdings" w:hint="default"/>
      </w:rPr>
    </w:lvl>
    <w:lvl w:ilvl="1" w:tplc="A2225FAA">
      <w:start w:val="1"/>
      <w:numFmt w:val="bullet"/>
      <w:lvlText w:val=""/>
      <w:lvlJc w:val="left"/>
      <w:pPr>
        <w:tabs>
          <w:tab w:val="num" w:pos="1440"/>
        </w:tabs>
        <w:ind w:left="1440" w:hanging="360"/>
      </w:pPr>
      <w:rPr>
        <w:rFonts w:ascii="Wingdings" w:hAnsi="Wingdings" w:hint="default"/>
      </w:rPr>
    </w:lvl>
    <w:lvl w:ilvl="2" w:tplc="6346CA5A" w:tentative="1">
      <w:start w:val="1"/>
      <w:numFmt w:val="bullet"/>
      <w:lvlText w:val=""/>
      <w:lvlJc w:val="left"/>
      <w:pPr>
        <w:tabs>
          <w:tab w:val="num" w:pos="2160"/>
        </w:tabs>
        <w:ind w:left="2160" w:hanging="360"/>
      </w:pPr>
      <w:rPr>
        <w:rFonts w:ascii="Wingdings" w:hAnsi="Wingdings" w:hint="default"/>
      </w:rPr>
    </w:lvl>
    <w:lvl w:ilvl="3" w:tplc="63BCAE68" w:tentative="1">
      <w:start w:val="1"/>
      <w:numFmt w:val="bullet"/>
      <w:lvlText w:val=""/>
      <w:lvlJc w:val="left"/>
      <w:pPr>
        <w:tabs>
          <w:tab w:val="num" w:pos="2880"/>
        </w:tabs>
        <w:ind w:left="2880" w:hanging="360"/>
      </w:pPr>
      <w:rPr>
        <w:rFonts w:ascii="Wingdings" w:hAnsi="Wingdings" w:hint="default"/>
      </w:rPr>
    </w:lvl>
    <w:lvl w:ilvl="4" w:tplc="57B66DAE" w:tentative="1">
      <w:start w:val="1"/>
      <w:numFmt w:val="bullet"/>
      <w:lvlText w:val=""/>
      <w:lvlJc w:val="left"/>
      <w:pPr>
        <w:tabs>
          <w:tab w:val="num" w:pos="3600"/>
        </w:tabs>
        <w:ind w:left="3600" w:hanging="360"/>
      </w:pPr>
      <w:rPr>
        <w:rFonts w:ascii="Wingdings" w:hAnsi="Wingdings" w:hint="default"/>
      </w:rPr>
    </w:lvl>
    <w:lvl w:ilvl="5" w:tplc="094E7022" w:tentative="1">
      <w:start w:val="1"/>
      <w:numFmt w:val="bullet"/>
      <w:lvlText w:val=""/>
      <w:lvlJc w:val="left"/>
      <w:pPr>
        <w:tabs>
          <w:tab w:val="num" w:pos="4320"/>
        </w:tabs>
        <w:ind w:left="4320" w:hanging="360"/>
      </w:pPr>
      <w:rPr>
        <w:rFonts w:ascii="Wingdings" w:hAnsi="Wingdings" w:hint="default"/>
      </w:rPr>
    </w:lvl>
    <w:lvl w:ilvl="6" w:tplc="4B28AA24" w:tentative="1">
      <w:start w:val="1"/>
      <w:numFmt w:val="bullet"/>
      <w:lvlText w:val=""/>
      <w:lvlJc w:val="left"/>
      <w:pPr>
        <w:tabs>
          <w:tab w:val="num" w:pos="5040"/>
        </w:tabs>
        <w:ind w:left="5040" w:hanging="360"/>
      </w:pPr>
      <w:rPr>
        <w:rFonts w:ascii="Wingdings" w:hAnsi="Wingdings" w:hint="default"/>
      </w:rPr>
    </w:lvl>
    <w:lvl w:ilvl="7" w:tplc="9214AB08" w:tentative="1">
      <w:start w:val="1"/>
      <w:numFmt w:val="bullet"/>
      <w:lvlText w:val=""/>
      <w:lvlJc w:val="left"/>
      <w:pPr>
        <w:tabs>
          <w:tab w:val="num" w:pos="5760"/>
        </w:tabs>
        <w:ind w:left="5760" w:hanging="360"/>
      </w:pPr>
      <w:rPr>
        <w:rFonts w:ascii="Wingdings" w:hAnsi="Wingdings" w:hint="default"/>
      </w:rPr>
    </w:lvl>
    <w:lvl w:ilvl="8" w:tplc="EFB0CFC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E90B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9AB7BA3"/>
    <w:multiLevelType w:val="hybridMultilevel"/>
    <w:tmpl w:val="9A6A6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6785B"/>
    <w:multiLevelType w:val="hybridMultilevel"/>
    <w:tmpl w:val="4DAAF5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D93232"/>
    <w:multiLevelType w:val="hybridMultilevel"/>
    <w:tmpl w:val="B3A66B86"/>
    <w:lvl w:ilvl="0" w:tplc="7054CD10">
      <w:start w:val="1"/>
      <w:numFmt w:val="bullet"/>
      <w:lvlText w:val="•"/>
      <w:lvlJc w:val="left"/>
      <w:pPr>
        <w:tabs>
          <w:tab w:val="num" w:pos="720"/>
        </w:tabs>
        <w:ind w:left="720" w:hanging="360"/>
      </w:pPr>
      <w:rPr>
        <w:rFonts w:ascii="Arial" w:hAnsi="Arial" w:hint="default"/>
      </w:rPr>
    </w:lvl>
    <w:lvl w:ilvl="1" w:tplc="5D1084D4" w:tentative="1">
      <w:start w:val="1"/>
      <w:numFmt w:val="bullet"/>
      <w:lvlText w:val="•"/>
      <w:lvlJc w:val="left"/>
      <w:pPr>
        <w:tabs>
          <w:tab w:val="num" w:pos="1440"/>
        </w:tabs>
        <w:ind w:left="1440" w:hanging="360"/>
      </w:pPr>
      <w:rPr>
        <w:rFonts w:ascii="Arial" w:hAnsi="Arial" w:hint="default"/>
      </w:rPr>
    </w:lvl>
    <w:lvl w:ilvl="2" w:tplc="383CDAB0" w:tentative="1">
      <w:start w:val="1"/>
      <w:numFmt w:val="bullet"/>
      <w:lvlText w:val="•"/>
      <w:lvlJc w:val="left"/>
      <w:pPr>
        <w:tabs>
          <w:tab w:val="num" w:pos="2160"/>
        </w:tabs>
        <w:ind w:left="2160" w:hanging="360"/>
      </w:pPr>
      <w:rPr>
        <w:rFonts w:ascii="Arial" w:hAnsi="Arial" w:hint="default"/>
      </w:rPr>
    </w:lvl>
    <w:lvl w:ilvl="3" w:tplc="44B8AE72" w:tentative="1">
      <w:start w:val="1"/>
      <w:numFmt w:val="bullet"/>
      <w:lvlText w:val="•"/>
      <w:lvlJc w:val="left"/>
      <w:pPr>
        <w:tabs>
          <w:tab w:val="num" w:pos="2880"/>
        </w:tabs>
        <w:ind w:left="2880" w:hanging="360"/>
      </w:pPr>
      <w:rPr>
        <w:rFonts w:ascii="Arial" w:hAnsi="Arial" w:hint="default"/>
      </w:rPr>
    </w:lvl>
    <w:lvl w:ilvl="4" w:tplc="F1F26156" w:tentative="1">
      <w:start w:val="1"/>
      <w:numFmt w:val="bullet"/>
      <w:lvlText w:val="•"/>
      <w:lvlJc w:val="left"/>
      <w:pPr>
        <w:tabs>
          <w:tab w:val="num" w:pos="3600"/>
        </w:tabs>
        <w:ind w:left="3600" w:hanging="360"/>
      </w:pPr>
      <w:rPr>
        <w:rFonts w:ascii="Arial" w:hAnsi="Arial" w:hint="default"/>
      </w:rPr>
    </w:lvl>
    <w:lvl w:ilvl="5" w:tplc="7598EBE2" w:tentative="1">
      <w:start w:val="1"/>
      <w:numFmt w:val="bullet"/>
      <w:lvlText w:val="•"/>
      <w:lvlJc w:val="left"/>
      <w:pPr>
        <w:tabs>
          <w:tab w:val="num" w:pos="4320"/>
        </w:tabs>
        <w:ind w:left="4320" w:hanging="360"/>
      </w:pPr>
      <w:rPr>
        <w:rFonts w:ascii="Arial" w:hAnsi="Arial" w:hint="default"/>
      </w:rPr>
    </w:lvl>
    <w:lvl w:ilvl="6" w:tplc="DFE4E526" w:tentative="1">
      <w:start w:val="1"/>
      <w:numFmt w:val="bullet"/>
      <w:lvlText w:val="•"/>
      <w:lvlJc w:val="left"/>
      <w:pPr>
        <w:tabs>
          <w:tab w:val="num" w:pos="5040"/>
        </w:tabs>
        <w:ind w:left="5040" w:hanging="360"/>
      </w:pPr>
      <w:rPr>
        <w:rFonts w:ascii="Arial" w:hAnsi="Arial" w:hint="default"/>
      </w:rPr>
    </w:lvl>
    <w:lvl w:ilvl="7" w:tplc="98349BB8" w:tentative="1">
      <w:start w:val="1"/>
      <w:numFmt w:val="bullet"/>
      <w:lvlText w:val="•"/>
      <w:lvlJc w:val="left"/>
      <w:pPr>
        <w:tabs>
          <w:tab w:val="num" w:pos="5760"/>
        </w:tabs>
        <w:ind w:left="5760" w:hanging="360"/>
      </w:pPr>
      <w:rPr>
        <w:rFonts w:ascii="Arial" w:hAnsi="Arial" w:hint="default"/>
      </w:rPr>
    </w:lvl>
    <w:lvl w:ilvl="8" w:tplc="668A3A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8F00611"/>
    <w:multiLevelType w:val="hybridMultilevel"/>
    <w:tmpl w:val="B0A4F492"/>
    <w:lvl w:ilvl="0" w:tplc="1166DBB2">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D761E5C"/>
    <w:multiLevelType w:val="hybridMultilevel"/>
    <w:tmpl w:val="B13031C4"/>
    <w:lvl w:ilvl="0" w:tplc="7B1080C2">
      <w:start w:val="1"/>
      <w:numFmt w:val="bullet"/>
      <w:lvlText w:val=""/>
      <w:lvlJc w:val="left"/>
      <w:pPr>
        <w:tabs>
          <w:tab w:val="num" w:pos="720"/>
        </w:tabs>
        <w:ind w:left="720" w:hanging="360"/>
      </w:pPr>
      <w:rPr>
        <w:rFonts w:ascii="Wingdings" w:hAnsi="Wingdings" w:hint="default"/>
      </w:rPr>
    </w:lvl>
    <w:lvl w:ilvl="1" w:tplc="39889090">
      <w:start w:val="1"/>
      <w:numFmt w:val="bullet"/>
      <w:lvlText w:val=""/>
      <w:lvlJc w:val="left"/>
      <w:pPr>
        <w:tabs>
          <w:tab w:val="num" w:pos="1440"/>
        </w:tabs>
        <w:ind w:left="1440" w:hanging="360"/>
      </w:pPr>
      <w:rPr>
        <w:rFonts w:ascii="Wingdings" w:hAnsi="Wingdings" w:hint="default"/>
      </w:rPr>
    </w:lvl>
    <w:lvl w:ilvl="2" w:tplc="71FE8320" w:tentative="1">
      <w:start w:val="1"/>
      <w:numFmt w:val="bullet"/>
      <w:lvlText w:val=""/>
      <w:lvlJc w:val="left"/>
      <w:pPr>
        <w:tabs>
          <w:tab w:val="num" w:pos="2160"/>
        </w:tabs>
        <w:ind w:left="2160" w:hanging="360"/>
      </w:pPr>
      <w:rPr>
        <w:rFonts w:ascii="Wingdings" w:hAnsi="Wingdings" w:hint="default"/>
      </w:rPr>
    </w:lvl>
    <w:lvl w:ilvl="3" w:tplc="02AE424A" w:tentative="1">
      <w:start w:val="1"/>
      <w:numFmt w:val="bullet"/>
      <w:lvlText w:val=""/>
      <w:lvlJc w:val="left"/>
      <w:pPr>
        <w:tabs>
          <w:tab w:val="num" w:pos="2880"/>
        </w:tabs>
        <w:ind w:left="2880" w:hanging="360"/>
      </w:pPr>
      <w:rPr>
        <w:rFonts w:ascii="Wingdings" w:hAnsi="Wingdings" w:hint="default"/>
      </w:rPr>
    </w:lvl>
    <w:lvl w:ilvl="4" w:tplc="A6B270F0" w:tentative="1">
      <w:start w:val="1"/>
      <w:numFmt w:val="bullet"/>
      <w:lvlText w:val=""/>
      <w:lvlJc w:val="left"/>
      <w:pPr>
        <w:tabs>
          <w:tab w:val="num" w:pos="3600"/>
        </w:tabs>
        <w:ind w:left="3600" w:hanging="360"/>
      </w:pPr>
      <w:rPr>
        <w:rFonts w:ascii="Wingdings" w:hAnsi="Wingdings" w:hint="default"/>
      </w:rPr>
    </w:lvl>
    <w:lvl w:ilvl="5" w:tplc="1A52200E" w:tentative="1">
      <w:start w:val="1"/>
      <w:numFmt w:val="bullet"/>
      <w:lvlText w:val=""/>
      <w:lvlJc w:val="left"/>
      <w:pPr>
        <w:tabs>
          <w:tab w:val="num" w:pos="4320"/>
        </w:tabs>
        <w:ind w:left="4320" w:hanging="360"/>
      </w:pPr>
      <w:rPr>
        <w:rFonts w:ascii="Wingdings" w:hAnsi="Wingdings" w:hint="default"/>
      </w:rPr>
    </w:lvl>
    <w:lvl w:ilvl="6" w:tplc="005E77FA" w:tentative="1">
      <w:start w:val="1"/>
      <w:numFmt w:val="bullet"/>
      <w:lvlText w:val=""/>
      <w:lvlJc w:val="left"/>
      <w:pPr>
        <w:tabs>
          <w:tab w:val="num" w:pos="5040"/>
        </w:tabs>
        <w:ind w:left="5040" w:hanging="360"/>
      </w:pPr>
      <w:rPr>
        <w:rFonts w:ascii="Wingdings" w:hAnsi="Wingdings" w:hint="default"/>
      </w:rPr>
    </w:lvl>
    <w:lvl w:ilvl="7" w:tplc="37BECA74" w:tentative="1">
      <w:start w:val="1"/>
      <w:numFmt w:val="bullet"/>
      <w:lvlText w:val=""/>
      <w:lvlJc w:val="left"/>
      <w:pPr>
        <w:tabs>
          <w:tab w:val="num" w:pos="5760"/>
        </w:tabs>
        <w:ind w:left="5760" w:hanging="360"/>
      </w:pPr>
      <w:rPr>
        <w:rFonts w:ascii="Wingdings" w:hAnsi="Wingdings" w:hint="default"/>
      </w:rPr>
    </w:lvl>
    <w:lvl w:ilvl="8" w:tplc="4C884DD4"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10"/>
  </w:num>
  <w:num w:numId="4">
    <w:abstractNumId w:val="7"/>
  </w:num>
  <w:num w:numId="5">
    <w:abstractNumId w:val="2"/>
  </w:num>
  <w:num w:numId="6">
    <w:abstractNumId w:val="5"/>
  </w:num>
  <w:num w:numId="7">
    <w:abstractNumId w:val="6"/>
  </w:num>
  <w:num w:numId="8">
    <w:abstractNumId w:val="3"/>
  </w:num>
  <w:num w:numId="9">
    <w:abstractNumId w:val="9"/>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7EF"/>
    <w:rsid w:val="000009BE"/>
    <w:rsid w:val="00010373"/>
    <w:rsid w:val="000167DA"/>
    <w:rsid w:val="00037900"/>
    <w:rsid w:val="000407CD"/>
    <w:rsid w:val="00055F43"/>
    <w:rsid w:val="00067651"/>
    <w:rsid w:val="00070D04"/>
    <w:rsid w:val="00074739"/>
    <w:rsid w:val="00090298"/>
    <w:rsid w:val="00091D4F"/>
    <w:rsid w:val="000B167D"/>
    <w:rsid w:val="000B38CF"/>
    <w:rsid w:val="000D79A0"/>
    <w:rsid w:val="000E4BAC"/>
    <w:rsid w:val="000F61DF"/>
    <w:rsid w:val="001035CD"/>
    <w:rsid w:val="00105528"/>
    <w:rsid w:val="001115CB"/>
    <w:rsid w:val="00113C7E"/>
    <w:rsid w:val="00114514"/>
    <w:rsid w:val="00120527"/>
    <w:rsid w:val="00131ADE"/>
    <w:rsid w:val="00134CDF"/>
    <w:rsid w:val="00140AE5"/>
    <w:rsid w:val="001411BC"/>
    <w:rsid w:val="00141BBE"/>
    <w:rsid w:val="0014756C"/>
    <w:rsid w:val="001506C7"/>
    <w:rsid w:val="001617F1"/>
    <w:rsid w:val="00165A81"/>
    <w:rsid w:val="0017749D"/>
    <w:rsid w:val="00191DA1"/>
    <w:rsid w:val="00195EC4"/>
    <w:rsid w:val="001A2953"/>
    <w:rsid w:val="001B576D"/>
    <w:rsid w:val="001B75C4"/>
    <w:rsid w:val="001C0E28"/>
    <w:rsid w:val="001C0EF9"/>
    <w:rsid w:val="001C0FF0"/>
    <w:rsid w:val="001C147B"/>
    <w:rsid w:val="001C5B51"/>
    <w:rsid w:val="001D02C7"/>
    <w:rsid w:val="001D178D"/>
    <w:rsid w:val="001D719F"/>
    <w:rsid w:val="001E3599"/>
    <w:rsid w:val="001E5AAC"/>
    <w:rsid w:val="001E6676"/>
    <w:rsid w:val="001E7621"/>
    <w:rsid w:val="001F01EC"/>
    <w:rsid w:val="001F240F"/>
    <w:rsid w:val="001F430B"/>
    <w:rsid w:val="00200A58"/>
    <w:rsid w:val="00200F1C"/>
    <w:rsid w:val="0020314C"/>
    <w:rsid w:val="00205F05"/>
    <w:rsid w:val="00206C01"/>
    <w:rsid w:val="00207CCC"/>
    <w:rsid w:val="00207DAB"/>
    <w:rsid w:val="002221AF"/>
    <w:rsid w:val="0022384E"/>
    <w:rsid w:val="0022553F"/>
    <w:rsid w:val="00227A2D"/>
    <w:rsid w:val="002317D8"/>
    <w:rsid w:val="002419AC"/>
    <w:rsid w:val="002469AF"/>
    <w:rsid w:val="00247DD7"/>
    <w:rsid w:val="00251743"/>
    <w:rsid w:val="00257C24"/>
    <w:rsid w:val="0029056A"/>
    <w:rsid w:val="00291092"/>
    <w:rsid w:val="002A0D32"/>
    <w:rsid w:val="002A2605"/>
    <w:rsid w:val="002A322A"/>
    <w:rsid w:val="002B04C0"/>
    <w:rsid w:val="002B07D5"/>
    <w:rsid w:val="002B25C1"/>
    <w:rsid w:val="002C3156"/>
    <w:rsid w:val="002D4183"/>
    <w:rsid w:val="002D6869"/>
    <w:rsid w:val="002E0D54"/>
    <w:rsid w:val="002E382B"/>
    <w:rsid w:val="002E6F52"/>
    <w:rsid w:val="002E7742"/>
    <w:rsid w:val="002F6309"/>
    <w:rsid w:val="003106DA"/>
    <w:rsid w:val="003115C2"/>
    <w:rsid w:val="003169BA"/>
    <w:rsid w:val="00322830"/>
    <w:rsid w:val="00346183"/>
    <w:rsid w:val="00356E79"/>
    <w:rsid w:val="003612CB"/>
    <w:rsid w:val="0036247B"/>
    <w:rsid w:val="0036267A"/>
    <w:rsid w:val="0037251C"/>
    <w:rsid w:val="00375E11"/>
    <w:rsid w:val="003767D8"/>
    <w:rsid w:val="00377BF9"/>
    <w:rsid w:val="00385186"/>
    <w:rsid w:val="00392E58"/>
    <w:rsid w:val="00393C96"/>
    <w:rsid w:val="003941C7"/>
    <w:rsid w:val="0039565B"/>
    <w:rsid w:val="003A0E73"/>
    <w:rsid w:val="003A19CE"/>
    <w:rsid w:val="003B1276"/>
    <w:rsid w:val="003C2295"/>
    <w:rsid w:val="003D0A60"/>
    <w:rsid w:val="003D1C84"/>
    <w:rsid w:val="003D3825"/>
    <w:rsid w:val="003D3C0E"/>
    <w:rsid w:val="003D3CA1"/>
    <w:rsid w:val="003D7541"/>
    <w:rsid w:val="003E583E"/>
    <w:rsid w:val="003F26B7"/>
    <w:rsid w:val="003F366C"/>
    <w:rsid w:val="003F3B7A"/>
    <w:rsid w:val="003F490E"/>
    <w:rsid w:val="003F61BF"/>
    <w:rsid w:val="0041116A"/>
    <w:rsid w:val="004160CC"/>
    <w:rsid w:val="00427782"/>
    <w:rsid w:val="0043000B"/>
    <w:rsid w:val="00431352"/>
    <w:rsid w:val="00434B94"/>
    <w:rsid w:val="00441EAB"/>
    <w:rsid w:val="00445D6E"/>
    <w:rsid w:val="00454323"/>
    <w:rsid w:val="0046456E"/>
    <w:rsid w:val="00482CF4"/>
    <w:rsid w:val="004845A3"/>
    <w:rsid w:val="00485615"/>
    <w:rsid w:val="00487CA3"/>
    <w:rsid w:val="00492368"/>
    <w:rsid w:val="00493CE2"/>
    <w:rsid w:val="004A08E3"/>
    <w:rsid w:val="004A5C8D"/>
    <w:rsid w:val="004B2EDD"/>
    <w:rsid w:val="004B64F7"/>
    <w:rsid w:val="004B702C"/>
    <w:rsid w:val="004C327F"/>
    <w:rsid w:val="004C5BDB"/>
    <w:rsid w:val="004C707C"/>
    <w:rsid w:val="004D0C3D"/>
    <w:rsid w:val="004D7881"/>
    <w:rsid w:val="004E000E"/>
    <w:rsid w:val="004E05C4"/>
    <w:rsid w:val="004E3599"/>
    <w:rsid w:val="004E7D37"/>
    <w:rsid w:val="004F47E5"/>
    <w:rsid w:val="004F5A9C"/>
    <w:rsid w:val="00503DF8"/>
    <w:rsid w:val="00504130"/>
    <w:rsid w:val="00505FE2"/>
    <w:rsid w:val="005063A9"/>
    <w:rsid w:val="00507F0C"/>
    <w:rsid w:val="00512909"/>
    <w:rsid w:val="00513B2C"/>
    <w:rsid w:val="00514E85"/>
    <w:rsid w:val="00515C20"/>
    <w:rsid w:val="00522D23"/>
    <w:rsid w:val="0052416C"/>
    <w:rsid w:val="0053158E"/>
    <w:rsid w:val="00532EF5"/>
    <w:rsid w:val="0053662B"/>
    <w:rsid w:val="00537DFF"/>
    <w:rsid w:val="00541948"/>
    <w:rsid w:val="00543B1D"/>
    <w:rsid w:val="00544A06"/>
    <w:rsid w:val="00544B3B"/>
    <w:rsid w:val="0055749B"/>
    <w:rsid w:val="0056114B"/>
    <w:rsid w:val="00570D7B"/>
    <w:rsid w:val="005773CB"/>
    <w:rsid w:val="0058130B"/>
    <w:rsid w:val="0058299C"/>
    <w:rsid w:val="00592F85"/>
    <w:rsid w:val="005951FD"/>
    <w:rsid w:val="00596EB8"/>
    <w:rsid w:val="005B1E84"/>
    <w:rsid w:val="005B4224"/>
    <w:rsid w:val="005C0775"/>
    <w:rsid w:val="005C0FDA"/>
    <w:rsid w:val="005D0177"/>
    <w:rsid w:val="005D4C4B"/>
    <w:rsid w:val="005D5932"/>
    <w:rsid w:val="005D7CAD"/>
    <w:rsid w:val="005E59E4"/>
    <w:rsid w:val="005F2A05"/>
    <w:rsid w:val="006003ED"/>
    <w:rsid w:val="00610DCD"/>
    <w:rsid w:val="0061778F"/>
    <w:rsid w:val="00630DF5"/>
    <w:rsid w:val="006401C3"/>
    <w:rsid w:val="00640EB2"/>
    <w:rsid w:val="0064279B"/>
    <w:rsid w:val="006544F8"/>
    <w:rsid w:val="0066126D"/>
    <w:rsid w:val="006626BA"/>
    <w:rsid w:val="006628A2"/>
    <w:rsid w:val="006659B4"/>
    <w:rsid w:val="00670B3D"/>
    <w:rsid w:val="00674FAC"/>
    <w:rsid w:val="00677343"/>
    <w:rsid w:val="00681546"/>
    <w:rsid w:val="006877F1"/>
    <w:rsid w:val="00695C0C"/>
    <w:rsid w:val="00696984"/>
    <w:rsid w:val="00697007"/>
    <w:rsid w:val="006A016E"/>
    <w:rsid w:val="006A0B7A"/>
    <w:rsid w:val="006A40DD"/>
    <w:rsid w:val="006B2947"/>
    <w:rsid w:val="006B4B1E"/>
    <w:rsid w:val="006B6FD7"/>
    <w:rsid w:val="006C3FA1"/>
    <w:rsid w:val="006D0B67"/>
    <w:rsid w:val="006E0223"/>
    <w:rsid w:val="006F3843"/>
    <w:rsid w:val="00714FDD"/>
    <w:rsid w:val="00717702"/>
    <w:rsid w:val="00723E00"/>
    <w:rsid w:val="00724122"/>
    <w:rsid w:val="00726AEF"/>
    <w:rsid w:val="00726E9E"/>
    <w:rsid w:val="0073065F"/>
    <w:rsid w:val="00730D54"/>
    <w:rsid w:val="00740487"/>
    <w:rsid w:val="007423CF"/>
    <w:rsid w:val="00743AF7"/>
    <w:rsid w:val="00744206"/>
    <w:rsid w:val="00746C45"/>
    <w:rsid w:val="00750160"/>
    <w:rsid w:val="007509F6"/>
    <w:rsid w:val="007571ED"/>
    <w:rsid w:val="00760138"/>
    <w:rsid w:val="00766DAB"/>
    <w:rsid w:val="00780439"/>
    <w:rsid w:val="00782A1F"/>
    <w:rsid w:val="007971AE"/>
    <w:rsid w:val="007A2B12"/>
    <w:rsid w:val="007A3CB6"/>
    <w:rsid w:val="007A5A43"/>
    <w:rsid w:val="007B3D8B"/>
    <w:rsid w:val="007B4BFC"/>
    <w:rsid w:val="007B5785"/>
    <w:rsid w:val="007B5E84"/>
    <w:rsid w:val="007C1B09"/>
    <w:rsid w:val="007D6586"/>
    <w:rsid w:val="007D7258"/>
    <w:rsid w:val="007E171E"/>
    <w:rsid w:val="007F326F"/>
    <w:rsid w:val="007F5194"/>
    <w:rsid w:val="007F525D"/>
    <w:rsid w:val="0080483D"/>
    <w:rsid w:val="008049D3"/>
    <w:rsid w:val="00804BC0"/>
    <w:rsid w:val="008054F8"/>
    <w:rsid w:val="00805737"/>
    <w:rsid w:val="0081723E"/>
    <w:rsid w:val="008233E9"/>
    <w:rsid w:val="00823CBE"/>
    <w:rsid w:val="0082608C"/>
    <w:rsid w:val="00847572"/>
    <w:rsid w:val="00850732"/>
    <w:rsid w:val="00851AA7"/>
    <w:rsid w:val="008540A1"/>
    <w:rsid w:val="00864C0D"/>
    <w:rsid w:val="00871CAE"/>
    <w:rsid w:val="00882FA6"/>
    <w:rsid w:val="00895F8E"/>
    <w:rsid w:val="008A4C54"/>
    <w:rsid w:val="008A6D37"/>
    <w:rsid w:val="008B450E"/>
    <w:rsid w:val="008C0B0F"/>
    <w:rsid w:val="008C2D94"/>
    <w:rsid w:val="008C424C"/>
    <w:rsid w:val="008C7D7E"/>
    <w:rsid w:val="008D3119"/>
    <w:rsid w:val="008D605D"/>
    <w:rsid w:val="008E15E7"/>
    <w:rsid w:val="008E1664"/>
    <w:rsid w:val="008E4140"/>
    <w:rsid w:val="008E51B9"/>
    <w:rsid w:val="008E54E4"/>
    <w:rsid w:val="008E636A"/>
    <w:rsid w:val="008F1658"/>
    <w:rsid w:val="008F5E88"/>
    <w:rsid w:val="00900DC4"/>
    <w:rsid w:val="009061F8"/>
    <w:rsid w:val="00906598"/>
    <w:rsid w:val="009122FE"/>
    <w:rsid w:val="009230C5"/>
    <w:rsid w:val="00926192"/>
    <w:rsid w:val="0092788A"/>
    <w:rsid w:val="00931704"/>
    <w:rsid w:val="00942D8E"/>
    <w:rsid w:val="0094416C"/>
    <w:rsid w:val="009465D0"/>
    <w:rsid w:val="009522CA"/>
    <w:rsid w:val="00954358"/>
    <w:rsid w:val="009624B9"/>
    <w:rsid w:val="00967E0F"/>
    <w:rsid w:val="00967F53"/>
    <w:rsid w:val="009A4ABA"/>
    <w:rsid w:val="009A5CDB"/>
    <w:rsid w:val="009A621F"/>
    <w:rsid w:val="009B3A4E"/>
    <w:rsid w:val="009C13C3"/>
    <w:rsid w:val="009C21F4"/>
    <w:rsid w:val="009C32AB"/>
    <w:rsid w:val="009C6572"/>
    <w:rsid w:val="009C6F43"/>
    <w:rsid w:val="009D475F"/>
    <w:rsid w:val="009D53B3"/>
    <w:rsid w:val="009D6C95"/>
    <w:rsid w:val="009E01BE"/>
    <w:rsid w:val="009E3D69"/>
    <w:rsid w:val="009E5210"/>
    <w:rsid w:val="009E6C9B"/>
    <w:rsid w:val="009E75B4"/>
    <w:rsid w:val="009F0ABE"/>
    <w:rsid w:val="009F22EF"/>
    <w:rsid w:val="00A061B6"/>
    <w:rsid w:val="00A063A3"/>
    <w:rsid w:val="00A072D9"/>
    <w:rsid w:val="00A14682"/>
    <w:rsid w:val="00A17E83"/>
    <w:rsid w:val="00A22319"/>
    <w:rsid w:val="00A248A9"/>
    <w:rsid w:val="00A3234E"/>
    <w:rsid w:val="00A33818"/>
    <w:rsid w:val="00A36E88"/>
    <w:rsid w:val="00A371B2"/>
    <w:rsid w:val="00A42972"/>
    <w:rsid w:val="00A469EF"/>
    <w:rsid w:val="00A53055"/>
    <w:rsid w:val="00A53470"/>
    <w:rsid w:val="00A7318F"/>
    <w:rsid w:val="00A73CC1"/>
    <w:rsid w:val="00A76D16"/>
    <w:rsid w:val="00A840EC"/>
    <w:rsid w:val="00A84989"/>
    <w:rsid w:val="00A87A39"/>
    <w:rsid w:val="00A95681"/>
    <w:rsid w:val="00A96703"/>
    <w:rsid w:val="00AA5298"/>
    <w:rsid w:val="00AC01AD"/>
    <w:rsid w:val="00AC5243"/>
    <w:rsid w:val="00AD44C5"/>
    <w:rsid w:val="00AD7DAE"/>
    <w:rsid w:val="00AE3BDC"/>
    <w:rsid w:val="00AE435B"/>
    <w:rsid w:val="00AF04C5"/>
    <w:rsid w:val="00AF30AC"/>
    <w:rsid w:val="00AF3A05"/>
    <w:rsid w:val="00B05021"/>
    <w:rsid w:val="00B074E4"/>
    <w:rsid w:val="00B15B57"/>
    <w:rsid w:val="00B20E70"/>
    <w:rsid w:val="00B303A6"/>
    <w:rsid w:val="00B311A4"/>
    <w:rsid w:val="00B370D3"/>
    <w:rsid w:val="00B42D4C"/>
    <w:rsid w:val="00B575E7"/>
    <w:rsid w:val="00B65400"/>
    <w:rsid w:val="00B705DC"/>
    <w:rsid w:val="00B70648"/>
    <w:rsid w:val="00B718CE"/>
    <w:rsid w:val="00B75D28"/>
    <w:rsid w:val="00B91976"/>
    <w:rsid w:val="00B96501"/>
    <w:rsid w:val="00BA0C54"/>
    <w:rsid w:val="00BA2453"/>
    <w:rsid w:val="00BA5F4C"/>
    <w:rsid w:val="00BA6BDC"/>
    <w:rsid w:val="00BA779D"/>
    <w:rsid w:val="00BC0A8D"/>
    <w:rsid w:val="00BC1A47"/>
    <w:rsid w:val="00BC4400"/>
    <w:rsid w:val="00BC5C1D"/>
    <w:rsid w:val="00BE06A7"/>
    <w:rsid w:val="00C03648"/>
    <w:rsid w:val="00C04F05"/>
    <w:rsid w:val="00C054CB"/>
    <w:rsid w:val="00C125B5"/>
    <w:rsid w:val="00C12B48"/>
    <w:rsid w:val="00C16351"/>
    <w:rsid w:val="00C17674"/>
    <w:rsid w:val="00C21CE3"/>
    <w:rsid w:val="00C2251C"/>
    <w:rsid w:val="00C2417A"/>
    <w:rsid w:val="00C25777"/>
    <w:rsid w:val="00C26CBD"/>
    <w:rsid w:val="00C279F6"/>
    <w:rsid w:val="00C30FFC"/>
    <w:rsid w:val="00C50B02"/>
    <w:rsid w:val="00C5474F"/>
    <w:rsid w:val="00C67199"/>
    <w:rsid w:val="00C715E4"/>
    <w:rsid w:val="00C71FD5"/>
    <w:rsid w:val="00C74BCE"/>
    <w:rsid w:val="00C814CA"/>
    <w:rsid w:val="00C8219C"/>
    <w:rsid w:val="00C836BB"/>
    <w:rsid w:val="00C8405D"/>
    <w:rsid w:val="00C84BA0"/>
    <w:rsid w:val="00C87109"/>
    <w:rsid w:val="00C9491A"/>
    <w:rsid w:val="00C94FD8"/>
    <w:rsid w:val="00C9532D"/>
    <w:rsid w:val="00CA0EDE"/>
    <w:rsid w:val="00CA612D"/>
    <w:rsid w:val="00CA6F08"/>
    <w:rsid w:val="00CB0F26"/>
    <w:rsid w:val="00CB20CC"/>
    <w:rsid w:val="00CD1A1C"/>
    <w:rsid w:val="00CD4261"/>
    <w:rsid w:val="00CD53CF"/>
    <w:rsid w:val="00CE2B74"/>
    <w:rsid w:val="00CE2F2F"/>
    <w:rsid w:val="00CE72D2"/>
    <w:rsid w:val="00CF43B4"/>
    <w:rsid w:val="00CF7E34"/>
    <w:rsid w:val="00D0604C"/>
    <w:rsid w:val="00D068FA"/>
    <w:rsid w:val="00D37522"/>
    <w:rsid w:val="00D51E5D"/>
    <w:rsid w:val="00D529FC"/>
    <w:rsid w:val="00D63B25"/>
    <w:rsid w:val="00D75B1B"/>
    <w:rsid w:val="00D800A3"/>
    <w:rsid w:val="00D86230"/>
    <w:rsid w:val="00D95E6F"/>
    <w:rsid w:val="00D975D9"/>
    <w:rsid w:val="00DA1E13"/>
    <w:rsid w:val="00DB2348"/>
    <w:rsid w:val="00DB37EF"/>
    <w:rsid w:val="00DC1763"/>
    <w:rsid w:val="00DC341C"/>
    <w:rsid w:val="00DC3F97"/>
    <w:rsid w:val="00DD22F8"/>
    <w:rsid w:val="00DD3223"/>
    <w:rsid w:val="00DD3D66"/>
    <w:rsid w:val="00DD40A8"/>
    <w:rsid w:val="00DD7284"/>
    <w:rsid w:val="00DE3641"/>
    <w:rsid w:val="00DF47FC"/>
    <w:rsid w:val="00DF57FC"/>
    <w:rsid w:val="00E011E0"/>
    <w:rsid w:val="00E05746"/>
    <w:rsid w:val="00E105BB"/>
    <w:rsid w:val="00E1510E"/>
    <w:rsid w:val="00E17AE4"/>
    <w:rsid w:val="00E3061A"/>
    <w:rsid w:val="00E36B37"/>
    <w:rsid w:val="00E4037A"/>
    <w:rsid w:val="00E4089F"/>
    <w:rsid w:val="00E663AB"/>
    <w:rsid w:val="00E81DFA"/>
    <w:rsid w:val="00E8304D"/>
    <w:rsid w:val="00E84953"/>
    <w:rsid w:val="00E90766"/>
    <w:rsid w:val="00EA12E8"/>
    <w:rsid w:val="00EA6405"/>
    <w:rsid w:val="00EA7126"/>
    <w:rsid w:val="00EB29C8"/>
    <w:rsid w:val="00EB4F67"/>
    <w:rsid w:val="00EB6016"/>
    <w:rsid w:val="00EC68C5"/>
    <w:rsid w:val="00EC7178"/>
    <w:rsid w:val="00EC7F53"/>
    <w:rsid w:val="00ED39FA"/>
    <w:rsid w:val="00ED4AA6"/>
    <w:rsid w:val="00EE1525"/>
    <w:rsid w:val="00EF47D4"/>
    <w:rsid w:val="00EF77BB"/>
    <w:rsid w:val="00F01E85"/>
    <w:rsid w:val="00F06E6F"/>
    <w:rsid w:val="00F12FB8"/>
    <w:rsid w:val="00F142E3"/>
    <w:rsid w:val="00F16A2D"/>
    <w:rsid w:val="00F2268B"/>
    <w:rsid w:val="00F35608"/>
    <w:rsid w:val="00F35723"/>
    <w:rsid w:val="00F35812"/>
    <w:rsid w:val="00F37A82"/>
    <w:rsid w:val="00F539E8"/>
    <w:rsid w:val="00F5581B"/>
    <w:rsid w:val="00F56932"/>
    <w:rsid w:val="00F61A27"/>
    <w:rsid w:val="00F62C04"/>
    <w:rsid w:val="00F67C5B"/>
    <w:rsid w:val="00F7366B"/>
    <w:rsid w:val="00F81263"/>
    <w:rsid w:val="00F84DDE"/>
    <w:rsid w:val="00F87E9A"/>
    <w:rsid w:val="00F9068E"/>
    <w:rsid w:val="00F928E0"/>
    <w:rsid w:val="00FB4676"/>
    <w:rsid w:val="00FC3DB8"/>
    <w:rsid w:val="00FD535A"/>
    <w:rsid w:val="00FE0EF5"/>
    <w:rsid w:val="00FE4666"/>
    <w:rsid w:val="00FE5CC4"/>
    <w:rsid w:val="00FE689D"/>
    <w:rsid w:val="00FF4C23"/>
    <w:rsid w:val="00FF7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279B"/>
  <w15:chartTrackingRefBased/>
  <w15:docId w15:val="{781CB824-E7FE-4894-9B52-945AF3F9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51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43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F05"/>
    <w:rPr>
      <w:color w:val="0563C1" w:themeColor="hyperlink"/>
      <w:u w:val="single"/>
    </w:rPr>
  </w:style>
  <w:style w:type="paragraph" w:styleId="ListParagraph">
    <w:name w:val="List Paragraph"/>
    <w:basedOn w:val="Normal"/>
    <w:uiPriority w:val="34"/>
    <w:qFormat/>
    <w:rsid w:val="004C327F"/>
    <w:pPr>
      <w:ind w:left="720"/>
      <w:contextualSpacing/>
    </w:pPr>
  </w:style>
  <w:style w:type="paragraph" w:styleId="FootnoteText">
    <w:name w:val="footnote text"/>
    <w:basedOn w:val="Normal"/>
    <w:link w:val="FootnoteTextChar"/>
    <w:uiPriority w:val="99"/>
    <w:unhideWhenUsed/>
    <w:rsid w:val="004845A3"/>
    <w:pPr>
      <w:spacing w:after="0" w:line="240" w:lineRule="auto"/>
    </w:pPr>
    <w:rPr>
      <w:sz w:val="20"/>
      <w:szCs w:val="20"/>
      <w:lang w:val="en-GB"/>
    </w:rPr>
  </w:style>
  <w:style w:type="character" w:customStyle="1" w:styleId="FootnoteTextChar">
    <w:name w:val="Footnote Text Char"/>
    <w:basedOn w:val="DefaultParagraphFont"/>
    <w:link w:val="FootnoteText"/>
    <w:uiPriority w:val="99"/>
    <w:rsid w:val="004845A3"/>
    <w:rPr>
      <w:sz w:val="20"/>
      <w:szCs w:val="20"/>
      <w:lang w:val="en-GB"/>
    </w:rPr>
  </w:style>
  <w:style w:type="character" w:styleId="FootnoteReference">
    <w:name w:val="footnote reference"/>
    <w:basedOn w:val="DefaultParagraphFont"/>
    <w:uiPriority w:val="99"/>
    <w:semiHidden/>
    <w:unhideWhenUsed/>
    <w:rsid w:val="004845A3"/>
    <w:rPr>
      <w:vertAlign w:val="superscript"/>
    </w:rPr>
  </w:style>
  <w:style w:type="table" w:styleId="TableGrid">
    <w:name w:val="Table Grid"/>
    <w:basedOn w:val="TableNormal"/>
    <w:uiPriority w:val="39"/>
    <w:rsid w:val="00482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75E11"/>
    <w:pPr>
      <w:numPr>
        <w:ilvl w:val="1"/>
      </w:numPr>
    </w:pPr>
    <w:rPr>
      <w:rFonts w:eastAsiaTheme="minorEastAsia"/>
      <w:color w:val="5A5A5A" w:themeColor="text1" w:themeTint="A5"/>
      <w:spacing w:val="15"/>
      <w:lang w:val="en-GB"/>
    </w:rPr>
  </w:style>
  <w:style w:type="character" w:customStyle="1" w:styleId="SubtitleChar">
    <w:name w:val="Subtitle Char"/>
    <w:basedOn w:val="DefaultParagraphFont"/>
    <w:link w:val="Subtitle"/>
    <w:uiPriority w:val="11"/>
    <w:rsid w:val="00375E11"/>
    <w:rPr>
      <w:rFonts w:eastAsiaTheme="minorEastAsia"/>
      <w:color w:val="5A5A5A" w:themeColor="text1" w:themeTint="A5"/>
      <w:spacing w:val="15"/>
      <w:lang w:val="en-GB"/>
    </w:rPr>
  </w:style>
  <w:style w:type="character" w:styleId="IntenseReference">
    <w:name w:val="Intense Reference"/>
    <w:basedOn w:val="DefaultParagraphFont"/>
    <w:uiPriority w:val="32"/>
    <w:qFormat/>
    <w:rsid w:val="00375E11"/>
    <w:rPr>
      <w:rFonts w:ascii="Calibri Light" w:hAnsi="Calibri Light"/>
      <w:b/>
      <w:bCs/>
      <w:smallCaps/>
      <w:color w:val="5B9BD5" w:themeColor="accent1"/>
      <w:spacing w:val="5"/>
      <w:sz w:val="22"/>
    </w:rPr>
  </w:style>
  <w:style w:type="paragraph" w:styleId="BalloonText">
    <w:name w:val="Balloon Text"/>
    <w:basedOn w:val="Normal"/>
    <w:link w:val="BalloonTextChar"/>
    <w:uiPriority w:val="99"/>
    <w:semiHidden/>
    <w:unhideWhenUsed/>
    <w:rsid w:val="008E63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36A"/>
    <w:rPr>
      <w:rFonts w:ascii="Segoe UI" w:hAnsi="Segoe UI" w:cs="Segoe UI"/>
      <w:sz w:val="18"/>
      <w:szCs w:val="18"/>
    </w:rPr>
  </w:style>
  <w:style w:type="character" w:styleId="PlaceholderText">
    <w:name w:val="Placeholder Text"/>
    <w:basedOn w:val="DefaultParagraphFont"/>
    <w:uiPriority w:val="99"/>
    <w:semiHidden/>
    <w:rsid w:val="008E636A"/>
    <w:rPr>
      <w:color w:val="808080"/>
    </w:rPr>
  </w:style>
  <w:style w:type="character" w:styleId="CommentReference">
    <w:name w:val="annotation reference"/>
    <w:basedOn w:val="DefaultParagraphFont"/>
    <w:uiPriority w:val="99"/>
    <w:semiHidden/>
    <w:unhideWhenUsed/>
    <w:rsid w:val="002419AC"/>
    <w:rPr>
      <w:sz w:val="16"/>
      <w:szCs w:val="16"/>
    </w:rPr>
  </w:style>
  <w:style w:type="paragraph" w:styleId="CommentText">
    <w:name w:val="annotation text"/>
    <w:basedOn w:val="Normal"/>
    <w:link w:val="CommentTextChar"/>
    <w:uiPriority w:val="99"/>
    <w:semiHidden/>
    <w:unhideWhenUsed/>
    <w:rsid w:val="002419AC"/>
    <w:pPr>
      <w:spacing w:line="240" w:lineRule="auto"/>
    </w:pPr>
    <w:rPr>
      <w:sz w:val="20"/>
      <w:szCs w:val="20"/>
    </w:rPr>
  </w:style>
  <w:style w:type="character" w:customStyle="1" w:styleId="CommentTextChar">
    <w:name w:val="Comment Text Char"/>
    <w:basedOn w:val="DefaultParagraphFont"/>
    <w:link w:val="CommentText"/>
    <w:uiPriority w:val="99"/>
    <w:semiHidden/>
    <w:rsid w:val="002419AC"/>
    <w:rPr>
      <w:sz w:val="20"/>
      <w:szCs w:val="20"/>
    </w:rPr>
  </w:style>
  <w:style w:type="paragraph" w:styleId="CommentSubject">
    <w:name w:val="annotation subject"/>
    <w:basedOn w:val="CommentText"/>
    <w:next w:val="CommentText"/>
    <w:link w:val="CommentSubjectChar"/>
    <w:uiPriority w:val="99"/>
    <w:semiHidden/>
    <w:unhideWhenUsed/>
    <w:rsid w:val="002419AC"/>
    <w:rPr>
      <w:b/>
      <w:bCs/>
    </w:rPr>
  </w:style>
  <w:style w:type="character" w:customStyle="1" w:styleId="CommentSubjectChar">
    <w:name w:val="Comment Subject Char"/>
    <w:basedOn w:val="CommentTextChar"/>
    <w:link w:val="CommentSubject"/>
    <w:uiPriority w:val="99"/>
    <w:semiHidden/>
    <w:rsid w:val="002419AC"/>
    <w:rPr>
      <w:b/>
      <w:bCs/>
      <w:sz w:val="20"/>
      <w:szCs w:val="20"/>
    </w:rPr>
  </w:style>
  <w:style w:type="character" w:customStyle="1" w:styleId="Heading1Char">
    <w:name w:val="Heading 1 Char"/>
    <w:basedOn w:val="DefaultParagraphFont"/>
    <w:link w:val="Heading1"/>
    <w:uiPriority w:val="9"/>
    <w:rsid w:val="0038518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85186"/>
  </w:style>
  <w:style w:type="paragraph" w:styleId="Caption">
    <w:name w:val="caption"/>
    <w:basedOn w:val="Normal"/>
    <w:next w:val="Normal"/>
    <w:uiPriority w:val="35"/>
    <w:unhideWhenUsed/>
    <w:qFormat/>
    <w:rsid w:val="00D529F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33818"/>
    <w:pPr>
      <w:outlineLvl w:val="9"/>
    </w:pPr>
  </w:style>
  <w:style w:type="paragraph" w:styleId="TOC1">
    <w:name w:val="toc 1"/>
    <w:basedOn w:val="Normal"/>
    <w:next w:val="Normal"/>
    <w:autoRedefine/>
    <w:uiPriority w:val="39"/>
    <w:unhideWhenUsed/>
    <w:rsid w:val="00A33818"/>
    <w:pPr>
      <w:spacing w:after="100"/>
    </w:pPr>
  </w:style>
  <w:style w:type="character" w:customStyle="1" w:styleId="Heading2Char">
    <w:name w:val="Heading 2 Char"/>
    <w:basedOn w:val="DefaultParagraphFont"/>
    <w:link w:val="Heading2"/>
    <w:uiPriority w:val="9"/>
    <w:rsid w:val="00CF43B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186">
      <w:bodyDiv w:val="1"/>
      <w:marLeft w:val="0"/>
      <w:marRight w:val="0"/>
      <w:marTop w:val="0"/>
      <w:marBottom w:val="0"/>
      <w:divBdr>
        <w:top w:val="none" w:sz="0" w:space="0" w:color="auto"/>
        <w:left w:val="none" w:sz="0" w:space="0" w:color="auto"/>
        <w:bottom w:val="none" w:sz="0" w:space="0" w:color="auto"/>
        <w:right w:val="none" w:sz="0" w:space="0" w:color="auto"/>
      </w:divBdr>
    </w:div>
    <w:div w:id="2168435">
      <w:bodyDiv w:val="1"/>
      <w:marLeft w:val="0"/>
      <w:marRight w:val="0"/>
      <w:marTop w:val="0"/>
      <w:marBottom w:val="0"/>
      <w:divBdr>
        <w:top w:val="none" w:sz="0" w:space="0" w:color="auto"/>
        <w:left w:val="none" w:sz="0" w:space="0" w:color="auto"/>
        <w:bottom w:val="none" w:sz="0" w:space="0" w:color="auto"/>
        <w:right w:val="none" w:sz="0" w:space="0" w:color="auto"/>
      </w:divBdr>
    </w:div>
    <w:div w:id="6904459">
      <w:bodyDiv w:val="1"/>
      <w:marLeft w:val="0"/>
      <w:marRight w:val="0"/>
      <w:marTop w:val="0"/>
      <w:marBottom w:val="0"/>
      <w:divBdr>
        <w:top w:val="none" w:sz="0" w:space="0" w:color="auto"/>
        <w:left w:val="none" w:sz="0" w:space="0" w:color="auto"/>
        <w:bottom w:val="none" w:sz="0" w:space="0" w:color="auto"/>
        <w:right w:val="none" w:sz="0" w:space="0" w:color="auto"/>
      </w:divBdr>
    </w:div>
    <w:div w:id="16205144">
      <w:bodyDiv w:val="1"/>
      <w:marLeft w:val="0"/>
      <w:marRight w:val="0"/>
      <w:marTop w:val="0"/>
      <w:marBottom w:val="0"/>
      <w:divBdr>
        <w:top w:val="none" w:sz="0" w:space="0" w:color="auto"/>
        <w:left w:val="none" w:sz="0" w:space="0" w:color="auto"/>
        <w:bottom w:val="none" w:sz="0" w:space="0" w:color="auto"/>
        <w:right w:val="none" w:sz="0" w:space="0" w:color="auto"/>
      </w:divBdr>
    </w:div>
    <w:div w:id="49156024">
      <w:bodyDiv w:val="1"/>
      <w:marLeft w:val="0"/>
      <w:marRight w:val="0"/>
      <w:marTop w:val="0"/>
      <w:marBottom w:val="0"/>
      <w:divBdr>
        <w:top w:val="none" w:sz="0" w:space="0" w:color="auto"/>
        <w:left w:val="none" w:sz="0" w:space="0" w:color="auto"/>
        <w:bottom w:val="none" w:sz="0" w:space="0" w:color="auto"/>
        <w:right w:val="none" w:sz="0" w:space="0" w:color="auto"/>
      </w:divBdr>
    </w:div>
    <w:div w:id="63920391">
      <w:bodyDiv w:val="1"/>
      <w:marLeft w:val="0"/>
      <w:marRight w:val="0"/>
      <w:marTop w:val="0"/>
      <w:marBottom w:val="0"/>
      <w:divBdr>
        <w:top w:val="none" w:sz="0" w:space="0" w:color="auto"/>
        <w:left w:val="none" w:sz="0" w:space="0" w:color="auto"/>
        <w:bottom w:val="none" w:sz="0" w:space="0" w:color="auto"/>
        <w:right w:val="none" w:sz="0" w:space="0" w:color="auto"/>
      </w:divBdr>
    </w:div>
    <w:div w:id="66609911">
      <w:bodyDiv w:val="1"/>
      <w:marLeft w:val="0"/>
      <w:marRight w:val="0"/>
      <w:marTop w:val="0"/>
      <w:marBottom w:val="0"/>
      <w:divBdr>
        <w:top w:val="none" w:sz="0" w:space="0" w:color="auto"/>
        <w:left w:val="none" w:sz="0" w:space="0" w:color="auto"/>
        <w:bottom w:val="none" w:sz="0" w:space="0" w:color="auto"/>
        <w:right w:val="none" w:sz="0" w:space="0" w:color="auto"/>
      </w:divBdr>
    </w:div>
    <w:div w:id="76945796">
      <w:bodyDiv w:val="1"/>
      <w:marLeft w:val="0"/>
      <w:marRight w:val="0"/>
      <w:marTop w:val="0"/>
      <w:marBottom w:val="0"/>
      <w:divBdr>
        <w:top w:val="none" w:sz="0" w:space="0" w:color="auto"/>
        <w:left w:val="none" w:sz="0" w:space="0" w:color="auto"/>
        <w:bottom w:val="none" w:sz="0" w:space="0" w:color="auto"/>
        <w:right w:val="none" w:sz="0" w:space="0" w:color="auto"/>
      </w:divBdr>
      <w:divsChild>
        <w:div w:id="718483123">
          <w:marLeft w:val="0"/>
          <w:marRight w:val="0"/>
          <w:marTop w:val="0"/>
          <w:marBottom w:val="0"/>
          <w:divBdr>
            <w:top w:val="none" w:sz="0" w:space="0" w:color="auto"/>
            <w:left w:val="none" w:sz="0" w:space="0" w:color="auto"/>
            <w:bottom w:val="none" w:sz="0" w:space="0" w:color="auto"/>
            <w:right w:val="none" w:sz="0" w:space="0" w:color="auto"/>
          </w:divBdr>
        </w:div>
        <w:div w:id="715279642">
          <w:marLeft w:val="0"/>
          <w:marRight w:val="0"/>
          <w:marTop w:val="0"/>
          <w:marBottom w:val="0"/>
          <w:divBdr>
            <w:top w:val="none" w:sz="0" w:space="0" w:color="auto"/>
            <w:left w:val="none" w:sz="0" w:space="0" w:color="auto"/>
            <w:bottom w:val="none" w:sz="0" w:space="0" w:color="auto"/>
            <w:right w:val="none" w:sz="0" w:space="0" w:color="auto"/>
          </w:divBdr>
        </w:div>
      </w:divsChild>
    </w:div>
    <w:div w:id="112284490">
      <w:bodyDiv w:val="1"/>
      <w:marLeft w:val="0"/>
      <w:marRight w:val="0"/>
      <w:marTop w:val="0"/>
      <w:marBottom w:val="0"/>
      <w:divBdr>
        <w:top w:val="none" w:sz="0" w:space="0" w:color="auto"/>
        <w:left w:val="none" w:sz="0" w:space="0" w:color="auto"/>
        <w:bottom w:val="none" w:sz="0" w:space="0" w:color="auto"/>
        <w:right w:val="none" w:sz="0" w:space="0" w:color="auto"/>
      </w:divBdr>
    </w:div>
    <w:div w:id="115955279">
      <w:bodyDiv w:val="1"/>
      <w:marLeft w:val="0"/>
      <w:marRight w:val="0"/>
      <w:marTop w:val="0"/>
      <w:marBottom w:val="0"/>
      <w:divBdr>
        <w:top w:val="none" w:sz="0" w:space="0" w:color="auto"/>
        <w:left w:val="none" w:sz="0" w:space="0" w:color="auto"/>
        <w:bottom w:val="none" w:sz="0" w:space="0" w:color="auto"/>
        <w:right w:val="none" w:sz="0" w:space="0" w:color="auto"/>
      </w:divBdr>
    </w:div>
    <w:div w:id="128935451">
      <w:bodyDiv w:val="1"/>
      <w:marLeft w:val="0"/>
      <w:marRight w:val="0"/>
      <w:marTop w:val="0"/>
      <w:marBottom w:val="0"/>
      <w:divBdr>
        <w:top w:val="none" w:sz="0" w:space="0" w:color="auto"/>
        <w:left w:val="none" w:sz="0" w:space="0" w:color="auto"/>
        <w:bottom w:val="none" w:sz="0" w:space="0" w:color="auto"/>
        <w:right w:val="none" w:sz="0" w:space="0" w:color="auto"/>
      </w:divBdr>
    </w:div>
    <w:div w:id="154342962">
      <w:bodyDiv w:val="1"/>
      <w:marLeft w:val="0"/>
      <w:marRight w:val="0"/>
      <w:marTop w:val="0"/>
      <w:marBottom w:val="0"/>
      <w:divBdr>
        <w:top w:val="none" w:sz="0" w:space="0" w:color="auto"/>
        <w:left w:val="none" w:sz="0" w:space="0" w:color="auto"/>
        <w:bottom w:val="none" w:sz="0" w:space="0" w:color="auto"/>
        <w:right w:val="none" w:sz="0" w:space="0" w:color="auto"/>
      </w:divBdr>
    </w:div>
    <w:div w:id="177817598">
      <w:bodyDiv w:val="1"/>
      <w:marLeft w:val="0"/>
      <w:marRight w:val="0"/>
      <w:marTop w:val="0"/>
      <w:marBottom w:val="0"/>
      <w:divBdr>
        <w:top w:val="none" w:sz="0" w:space="0" w:color="auto"/>
        <w:left w:val="none" w:sz="0" w:space="0" w:color="auto"/>
        <w:bottom w:val="none" w:sz="0" w:space="0" w:color="auto"/>
        <w:right w:val="none" w:sz="0" w:space="0" w:color="auto"/>
      </w:divBdr>
      <w:divsChild>
        <w:div w:id="337931016">
          <w:marLeft w:val="0"/>
          <w:marRight w:val="0"/>
          <w:marTop w:val="0"/>
          <w:marBottom w:val="0"/>
          <w:divBdr>
            <w:top w:val="none" w:sz="0" w:space="0" w:color="auto"/>
            <w:left w:val="none" w:sz="0" w:space="0" w:color="auto"/>
            <w:bottom w:val="none" w:sz="0" w:space="0" w:color="auto"/>
            <w:right w:val="none" w:sz="0" w:space="0" w:color="auto"/>
          </w:divBdr>
        </w:div>
        <w:div w:id="700253531">
          <w:marLeft w:val="0"/>
          <w:marRight w:val="0"/>
          <w:marTop w:val="0"/>
          <w:marBottom w:val="0"/>
          <w:divBdr>
            <w:top w:val="none" w:sz="0" w:space="0" w:color="auto"/>
            <w:left w:val="none" w:sz="0" w:space="0" w:color="auto"/>
            <w:bottom w:val="none" w:sz="0" w:space="0" w:color="auto"/>
            <w:right w:val="none" w:sz="0" w:space="0" w:color="auto"/>
          </w:divBdr>
        </w:div>
        <w:div w:id="208077191">
          <w:marLeft w:val="0"/>
          <w:marRight w:val="0"/>
          <w:marTop w:val="0"/>
          <w:marBottom w:val="0"/>
          <w:divBdr>
            <w:top w:val="none" w:sz="0" w:space="0" w:color="auto"/>
            <w:left w:val="none" w:sz="0" w:space="0" w:color="auto"/>
            <w:bottom w:val="none" w:sz="0" w:space="0" w:color="auto"/>
            <w:right w:val="none" w:sz="0" w:space="0" w:color="auto"/>
          </w:divBdr>
        </w:div>
        <w:div w:id="622462350">
          <w:marLeft w:val="0"/>
          <w:marRight w:val="0"/>
          <w:marTop w:val="0"/>
          <w:marBottom w:val="0"/>
          <w:divBdr>
            <w:top w:val="none" w:sz="0" w:space="0" w:color="auto"/>
            <w:left w:val="none" w:sz="0" w:space="0" w:color="auto"/>
            <w:bottom w:val="none" w:sz="0" w:space="0" w:color="auto"/>
            <w:right w:val="none" w:sz="0" w:space="0" w:color="auto"/>
          </w:divBdr>
        </w:div>
        <w:div w:id="287585720">
          <w:marLeft w:val="0"/>
          <w:marRight w:val="0"/>
          <w:marTop w:val="0"/>
          <w:marBottom w:val="0"/>
          <w:divBdr>
            <w:top w:val="none" w:sz="0" w:space="0" w:color="auto"/>
            <w:left w:val="none" w:sz="0" w:space="0" w:color="auto"/>
            <w:bottom w:val="none" w:sz="0" w:space="0" w:color="auto"/>
            <w:right w:val="none" w:sz="0" w:space="0" w:color="auto"/>
          </w:divBdr>
        </w:div>
        <w:div w:id="1492715487">
          <w:marLeft w:val="0"/>
          <w:marRight w:val="0"/>
          <w:marTop w:val="0"/>
          <w:marBottom w:val="0"/>
          <w:divBdr>
            <w:top w:val="none" w:sz="0" w:space="0" w:color="auto"/>
            <w:left w:val="none" w:sz="0" w:space="0" w:color="auto"/>
            <w:bottom w:val="none" w:sz="0" w:space="0" w:color="auto"/>
            <w:right w:val="none" w:sz="0" w:space="0" w:color="auto"/>
          </w:divBdr>
        </w:div>
        <w:div w:id="2079672786">
          <w:marLeft w:val="0"/>
          <w:marRight w:val="0"/>
          <w:marTop w:val="0"/>
          <w:marBottom w:val="0"/>
          <w:divBdr>
            <w:top w:val="none" w:sz="0" w:space="0" w:color="auto"/>
            <w:left w:val="none" w:sz="0" w:space="0" w:color="auto"/>
            <w:bottom w:val="none" w:sz="0" w:space="0" w:color="auto"/>
            <w:right w:val="none" w:sz="0" w:space="0" w:color="auto"/>
          </w:divBdr>
        </w:div>
      </w:divsChild>
    </w:div>
    <w:div w:id="209654382">
      <w:bodyDiv w:val="1"/>
      <w:marLeft w:val="0"/>
      <w:marRight w:val="0"/>
      <w:marTop w:val="0"/>
      <w:marBottom w:val="0"/>
      <w:divBdr>
        <w:top w:val="none" w:sz="0" w:space="0" w:color="auto"/>
        <w:left w:val="none" w:sz="0" w:space="0" w:color="auto"/>
        <w:bottom w:val="none" w:sz="0" w:space="0" w:color="auto"/>
        <w:right w:val="none" w:sz="0" w:space="0" w:color="auto"/>
      </w:divBdr>
    </w:div>
    <w:div w:id="238834019">
      <w:bodyDiv w:val="1"/>
      <w:marLeft w:val="0"/>
      <w:marRight w:val="0"/>
      <w:marTop w:val="0"/>
      <w:marBottom w:val="0"/>
      <w:divBdr>
        <w:top w:val="none" w:sz="0" w:space="0" w:color="auto"/>
        <w:left w:val="none" w:sz="0" w:space="0" w:color="auto"/>
        <w:bottom w:val="none" w:sz="0" w:space="0" w:color="auto"/>
        <w:right w:val="none" w:sz="0" w:space="0" w:color="auto"/>
      </w:divBdr>
    </w:div>
    <w:div w:id="245845589">
      <w:bodyDiv w:val="1"/>
      <w:marLeft w:val="0"/>
      <w:marRight w:val="0"/>
      <w:marTop w:val="0"/>
      <w:marBottom w:val="0"/>
      <w:divBdr>
        <w:top w:val="none" w:sz="0" w:space="0" w:color="auto"/>
        <w:left w:val="none" w:sz="0" w:space="0" w:color="auto"/>
        <w:bottom w:val="none" w:sz="0" w:space="0" w:color="auto"/>
        <w:right w:val="none" w:sz="0" w:space="0" w:color="auto"/>
      </w:divBdr>
    </w:div>
    <w:div w:id="247736143">
      <w:bodyDiv w:val="1"/>
      <w:marLeft w:val="0"/>
      <w:marRight w:val="0"/>
      <w:marTop w:val="0"/>
      <w:marBottom w:val="0"/>
      <w:divBdr>
        <w:top w:val="none" w:sz="0" w:space="0" w:color="auto"/>
        <w:left w:val="none" w:sz="0" w:space="0" w:color="auto"/>
        <w:bottom w:val="none" w:sz="0" w:space="0" w:color="auto"/>
        <w:right w:val="none" w:sz="0" w:space="0" w:color="auto"/>
      </w:divBdr>
    </w:div>
    <w:div w:id="264846975">
      <w:bodyDiv w:val="1"/>
      <w:marLeft w:val="0"/>
      <w:marRight w:val="0"/>
      <w:marTop w:val="0"/>
      <w:marBottom w:val="0"/>
      <w:divBdr>
        <w:top w:val="none" w:sz="0" w:space="0" w:color="auto"/>
        <w:left w:val="none" w:sz="0" w:space="0" w:color="auto"/>
        <w:bottom w:val="none" w:sz="0" w:space="0" w:color="auto"/>
        <w:right w:val="none" w:sz="0" w:space="0" w:color="auto"/>
      </w:divBdr>
    </w:div>
    <w:div w:id="289362046">
      <w:bodyDiv w:val="1"/>
      <w:marLeft w:val="0"/>
      <w:marRight w:val="0"/>
      <w:marTop w:val="0"/>
      <w:marBottom w:val="0"/>
      <w:divBdr>
        <w:top w:val="none" w:sz="0" w:space="0" w:color="auto"/>
        <w:left w:val="none" w:sz="0" w:space="0" w:color="auto"/>
        <w:bottom w:val="none" w:sz="0" w:space="0" w:color="auto"/>
        <w:right w:val="none" w:sz="0" w:space="0" w:color="auto"/>
      </w:divBdr>
    </w:div>
    <w:div w:id="316036664">
      <w:bodyDiv w:val="1"/>
      <w:marLeft w:val="0"/>
      <w:marRight w:val="0"/>
      <w:marTop w:val="0"/>
      <w:marBottom w:val="0"/>
      <w:divBdr>
        <w:top w:val="none" w:sz="0" w:space="0" w:color="auto"/>
        <w:left w:val="none" w:sz="0" w:space="0" w:color="auto"/>
        <w:bottom w:val="none" w:sz="0" w:space="0" w:color="auto"/>
        <w:right w:val="none" w:sz="0" w:space="0" w:color="auto"/>
      </w:divBdr>
    </w:div>
    <w:div w:id="340662578">
      <w:bodyDiv w:val="1"/>
      <w:marLeft w:val="0"/>
      <w:marRight w:val="0"/>
      <w:marTop w:val="0"/>
      <w:marBottom w:val="0"/>
      <w:divBdr>
        <w:top w:val="none" w:sz="0" w:space="0" w:color="auto"/>
        <w:left w:val="none" w:sz="0" w:space="0" w:color="auto"/>
        <w:bottom w:val="none" w:sz="0" w:space="0" w:color="auto"/>
        <w:right w:val="none" w:sz="0" w:space="0" w:color="auto"/>
      </w:divBdr>
    </w:div>
    <w:div w:id="341663130">
      <w:bodyDiv w:val="1"/>
      <w:marLeft w:val="0"/>
      <w:marRight w:val="0"/>
      <w:marTop w:val="0"/>
      <w:marBottom w:val="0"/>
      <w:divBdr>
        <w:top w:val="none" w:sz="0" w:space="0" w:color="auto"/>
        <w:left w:val="none" w:sz="0" w:space="0" w:color="auto"/>
        <w:bottom w:val="none" w:sz="0" w:space="0" w:color="auto"/>
        <w:right w:val="none" w:sz="0" w:space="0" w:color="auto"/>
      </w:divBdr>
    </w:div>
    <w:div w:id="342051120">
      <w:bodyDiv w:val="1"/>
      <w:marLeft w:val="0"/>
      <w:marRight w:val="0"/>
      <w:marTop w:val="0"/>
      <w:marBottom w:val="0"/>
      <w:divBdr>
        <w:top w:val="none" w:sz="0" w:space="0" w:color="auto"/>
        <w:left w:val="none" w:sz="0" w:space="0" w:color="auto"/>
        <w:bottom w:val="none" w:sz="0" w:space="0" w:color="auto"/>
        <w:right w:val="none" w:sz="0" w:space="0" w:color="auto"/>
      </w:divBdr>
    </w:div>
    <w:div w:id="369962098">
      <w:bodyDiv w:val="1"/>
      <w:marLeft w:val="0"/>
      <w:marRight w:val="0"/>
      <w:marTop w:val="0"/>
      <w:marBottom w:val="0"/>
      <w:divBdr>
        <w:top w:val="none" w:sz="0" w:space="0" w:color="auto"/>
        <w:left w:val="none" w:sz="0" w:space="0" w:color="auto"/>
        <w:bottom w:val="none" w:sz="0" w:space="0" w:color="auto"/>
        <w:right w:val="none" w:sz="0" w:space="0" w:color="auto"/>
      </w:divBdr>
    </w:div>
    <w:div w:id="378746521">
      <w:bodyDiv w:val="1"/>
      <w:marLeft w:val="0"/>
      <w:marRight w:val="0"/>
      <w:marTop w:val="0"/>
      <w:marBottom w:val="0"/>
      <w:divBdr>
        <w:top w:val="none" w:sz="0" w:space="0" w:color="auto"/>
        <w:left w:val="none" w:sz="0" w:space="0" w:color="auto"/>
        <w:bottom w:val="none" w:sz="0" w:space="0" w:color="auto"/>
        <w:right w:val="none" w:sz="0" w:space="0" w:color="auto"/>
      </w:divBdr>
    </w:div>
    <w:div w:id="404036742">
      <w:bodyDiv w:val="1"/>
      <w:marLeft w:val="0"/>
      <w:marRight w:val="0"/>
      <w:marTop w:val="0"/>
      <w:marBottom w:val="0"/>
      <w:divBdr>
        <w:top w:val="none" w:sz="0" w:space="0" w:color="auto"/>
        <w:left w:val="none" w:sz="0" w:space="0" w:color="auto"/>
        <w:bottom w:val="none" w:sz="0" w:space="0" w:color="auto"/>
        <w:right w:val="none" w:sz="0" w:space="0" w:color="auto"/>
      </w:divBdr>
    </w:div>
    <w:div w:id="408383727">
      <w:bodyDiv w:val="1"/>
      <w:marLeft w:val="0"/>
      <w:marRight w:val="0"/>
      <w:marTop w:val="0"/>
      <w:marBottom w:val="0"/>
      <w:divBdr>
        <w:top w:val="none" w:sz="0" w:space="0" w:color="auto"/>
        <w:left w:val="none" w:sz="0" w:space="0" w:color="auto"/>
        <w:bottom w:val="none" w:sz="0" w:space="0" w:color="auto"/>
        <w:right w:val="none" w:sz="0" w:space="0" w:color="auto"/>
      </w:divBdr>
    </w:div>
    <w:div w:id="422843596">
      <w:bodyDiv w:val="1"/>
      <w:marLeft w:val="0"/>
      <w:marRight w:val="0"/>
      <w:marTop w:val="0"/>
      <w:marBottom w:val="0"/>
      <w:divBdr>
        <w:top w:val="none" w:sz="0" w:space="0" w:color="auto"/>
        <w:left w:val="none" w:sz="0" w:space="0" w:color="auto"/>
        <w:bottom w:val="none" w:sz="0" w:space="0" w:color="auto"/>
        <w:right w:val="none" w:sz="0" w:space="0" w:color="auto"/>
      </w:divBdr>
    </w:div>
    <w:div w:id="427505264">
      <w:bodyDiv w:val="1"/>
      <w:marLeft w:val="0"/>
      <w:marRight w:val="0"/>
      <w:marTop w:val="0"/>
      <w:marBottom w:val="0"/>
      <w:divBdr>
        <w:top w:val="none" w:sz="0" w:space="0" w:color="auto"/>
        <w:left w:val="none" w:sz="0" w:space="0" w:color="auto"/>
        <w:bottom w:val="none" w:sz="0" w:space="0" w:color="auto"/>
        <w:right w:val="none" w:sz="0" w:space="0" w:color="auto"/>
      </w:divBdr>
    </w:div>
    <w:div w:id="429666164">
      <w:bodyDiv w:val="1"/>
      <w:marLeft w:val="0"/>
      <w:marRight w:val="0"/>
      <w:marTop w:val="0"/>
      <w:marBottom w:val="0"/>
      <w:divBdr>
        <w:top w:val="none" w:sz="0" w:space="0" w:color="auto"/>
        <w:left w:val="none" w:sz="0" w:space="0" w:color="auto"/>
        <w:bottom w:val="none" w:sz="0" w:space="0" w:color="auto"/>
        <w:right w:val="none" w:sz="0" w:space="0" w:color="auto"/>
      </w:divBdr>
    </w:div>
    <w:div w:id="430667577">
      <w:bodyDiv w:val="1"/>
      <w:marLeft w:val="0"/>
      <w:marRight w:val="0"/>
      <w:marTop w:val="0"/>
      <w:marBottom w:val="0"/>
      <w:divBdr>
        <w:top w:val="none" w:sz="0" w:space="0" w:color="auto"/>
        <w:left w:val="none" w:sz="0" w:space="0" w:color="auto"/>
        <w:bottom w:val="none" w:sz="0" w:space="0" w:color="auto"/>
        <w:right w:val="none" w:sz="0" w:space="0" w:color="auto"/>
      </w:divBdr>
    </w:div>
    <w:div w:id="447310785">
      <w:bodyDiv w:val="1"/>
      <w:marLeft w:val="0"/>
      <w:marRight w:val="0"/>
      <w:marTop w:val="0"/>
      <w:marBottom w:val="0"/>
      <w:divBdr>
        <w:top w:val="none" w:sz="0" w:space="0" w:color="auto"/>
        <w:left w:val="none" w:sz="0" w:space="0" w:color="auto"/>
        <w:bottom w:val="none" w:sz="0" w:space="0" w:color="auto"/>
        <w:right w:val="none" w:sz="0" w:space="0" w:color="auto"/>
      </w:divBdr>
    </w:div>
    <w:div w:id="485123159">
      <w:bodyDiv w:val="1"/>
      <w:marLeft w:val="0"/>
      <w:marRight w:val="0"/>
      <w:marTop w:val="0"/>
      <w:marBottom w:val="0"/>
      <w:divBdr>
        <w:top w:val="none" w:sz="0" w:space="0" w:color="auto"/>
        <w:left w:val="none" w:sz="0" w:space="0" w:color="auto"/>
        <w:bottom w:val="none" w:sz="0" w:space="0" w:color="auto"/>
        <w:right w:val="none" w:sz="0" w:space="0" w:color="auto"/>
      </w:divBdr>
    </w:div>
    <w:div w:id="492990290">
      <w:bodyDiv w:val="1"/>
      <w:marLeft w:val="0"/>
      <w:marRight w:val="0"/>
      <w:marTop w:val="0"/>
      <w:marBottom w:val="0"/>
      <w:divBdr>
        <w:top w:val="none" w:sz="0" w:space="0" w:color="auto"/>
        <w:left w:val="none" w:sz="0" w:space="0" w:color="auto"/>
        <w:bottom w:val="none" w:sz="0" w:space="0" w:color="auto"/>
        <w:right w:val="none" w:sz="0" w:space="0" w:color="auto"/>
      </w:divBdr>
    </w:div>
    <w:div w:id="517475043">
      <w:bodyDiv w:val="1"/>
      <w:marLeft w:val="0"/>
      <w:marRight w:val="0"/>
      <w:marTop w:val="0"/>
      <w:marBottom w:val="0"/>
      <w:divBdr>
        <w:top w:val="none" w:sz="0" w:space="0" w:color="auto"/>
        <w:left w:val="none" w:sz="0" w:space="0" w:color="auto"/>
        <w:bottom w:val="none" w:sz="0" w:space="0" w:color="auto"/>
        <w:right w:val="none" w:sz="0" w:space="0" w:color="auto"/>
      </w:divBdr>
    </w:div>
    <w:div w:id="556938384">
      <w:bodyDiv w:val="1"/>
      <w:marLeft w:val="0"/>
      <w:marRight w:val="0"/>
      <w:marTop w:val="0"/>
      <w:marBottom w:val="0"/>
      <w:divBdr>
        <w:top w:val="none" w:sz="0" w:space="0" w:color="auto"/>
        <w:left w:val="none" w:sz="0" w:space="0" w:color="auto"/>
        <w:bottom w:val="none" w:sz="0" w:space="0" w:color="auto"/>
        <w:right w:val="none" w:sz="0" w:space="0" w:color="auto"/>
      </w:divBdr>
    </w:div>
    <w:div w:id="563223289">
      <w:bodyDiv w:val="1"/>
      <w:marLeft w:val="0"/>
      <w:marRight w:val="0"/>
      <w:marTop w:val="0"/>
      <w:marBottom w:val="0"/>
      <w:divBdr>
        <w:top w:val="none" w:sz="0" w:space="0" w:color="auto"/>
        <w:left w:val="none" w:sz="0" w:space="0" w:color="auto"/>
        <w:bottom w:val="none" w:sz="0" w:space="0" w:color="auto"/>
        <w:right w:val="none" w:sz="0" w:space="0" w:color="auto"/>
      </w:divBdr>
    </w:div>
    <w:div w:id="568921677">
      <w:bodyDiv w:val="1"/>
      <w:marLeft w:val="0"/>
      <w:marRight w:val="0"/>
      <w:marTop w:val="0"/>
      <w:marBottom w:val="0"/>
      <w:divBdr>
        <w:top w:val="none" w:sz="0" w:space="0" w:color="auto"/>
        <w:left w:val="none" w:sz="0" w:space="0" w:color="auto"/>
        <w:bottom w:val="none" w:sz="0" w:space="0" w:color="auto"/>
        <w:right w:val="none" w:sz="0" w:space="0" w:color="auto"/>
      </w:divBdr>
    </w:div>
    <w:div w:id="574820178">
      <w:bodyDiv w:val="1"/>
      <w:marLeft w:val="0"/>
      <w:marRight w:val="0"/>
      <w:marTop w:val="0"/>
      <w:marBottom w:val="0"/>
      <w:divBdr>
        <w:top w:val="none" w:sz="0" w:space="0" w:color="auto"/>
        <w:left w:val="none" w:sz="0" w:space="0" w:color="auto"/>
        <w:bottom w:val="none" w:sz="0" w:space="0" w:color="auto"/>
        <w:right w:val="none" w:sz="0" w:space="0" w:color="auto"/>
      </w:divBdr>
    </w:div>
    <w:div w:id="575633764">
      <w:bodyDiv w:val="1"/>
      <w:marLeft w:val="0"/>
      <w:marRight w:val="0"/>
      <w:marTop w:val="0"/>
      <w:marBottom w:val="0"/>
      <w:divBdr>
        <w:top w:val="none" w:sz="0" w:space="0" w:color="auto"/>
        <w:left w:val="none" w:sz="0" w:space="0" w:color="auto"/>
        <w:bottom w:val="none" w:sz="0" w:space="0" w:color="auto"/>
        <w:right w:val="none" w:sz="0" w:space="0" w:color="auto"/>
      </w:divBdr>
    </w:div>
    <w:div w:id="587814647">
      <w:bodyDiv w:val="1"/>
      <w:marLeft w:val="0"/>
      <w:marRight w:val="0"/>
      <w:marTop w:val="0"/>
      <w:marBottom w:val="0"/>
      <w:divBdr>
        <w:top w:val="none" w:sz="0" w:space="0" w:color="auto"/>
        <w:left w:val="none" w:sz="0" w:space="0" w:color="auto"/>
        <w:bottom w:val="none" w:sz="0" w:space="0" w:color="auto"/>
        <w:right w:val="none" w:sz="0" w:space="0" w:color="auto"/>
      </w:divBdr>
    </w:div>
    <w:div w:id="589118046">
      <w:bodyDiv w:val="1"/>
      <w:marLeft w:val="0"/>
      <w:marRight w:val="0"/>
      <w:marTop w:val="0"/>
      <w:marBottom w:val="0"/>
      <w:divBdr>
        <w:top w:val="none" w:sz="0" w:space="0" w:color="auto"/>
        <w:left w:val="none" w:sz="0" w:space="0" w:color="auto"/>
        <w:bottom w:val="none" w:sz="0" w:space="0" w:color="auto"/>
        <w:right w:val="none" w:sz="0" w:space="0" w:color="auto"/>
      </w:divBdr>
    </w:div>
    <w:div w:id="596257210">
      <w:bodyDiv w:val="1"/>
      <w:marLeft w:val="0"/>
      <w:marRight w:val="0"/>
      <w:marTop w:val="0"/>
      <w:marBottom w:val="0"/>
      <w:divBdr>
        <w:top w:val="none" w:sz="0" w:space="0" w:color="auto"/>
        <w:left w:val="none" w:sz="0" w:space="0" w:color="auto"/>
        <w:bottom w:val="none" w:sz="0" w:space="0" w:color="auto"/>
        <w:right w:val="none" w:sz="0" w:space="0" w:color="auto"/>
      </w:divBdr>
    </w:div>
    <w:div w:id="617034108">
      <w:bodyDiv w:val="1"/>
      <w:marLeft w:val="0"/>
      <w:marRight w:val="0"/>
      <w:marTop w:val="0"/>
      <w:marBottom w:val="0"/>
      <w:divBdr>
        <w:top w:val="none" w:sz="0" w:space="0" w:color="auto"/>
        <w:left w:val="none" w:sz="0" w:space="0" w:color="auto"/>
        <w:bottom w:val="none" w:sz="0" w:space="0" w:color="auto"/>
        <w:right w:val="none" w:sz="0" w:space="0" w:color="auto"/>
      </w:divBdr>
    </w:div>
    <w:div w:id="635840730">
      <w:bodyDiv w:val="1"/>
      <w:marLeft w:val="0"/>
      <w:marRight w:val="0"/>
      <w:marTop w:val="0"/>
      <w:marBottom w:val="0"/>
      <w:divBdr>
        <w:top w:val="none" w:sz="0" w:space="0" w:color="auto"/>
        <w:left w:val="none" w:sz="0" w:space="0" w:color="auto"/>
        <w:bottom w:val="none" w:sz="0" w:space="0" w:color="auto"/>
        <w:right w:val="none" w:sz="0" w:space="0" w:color="auto"/>
      </w:divBdr>
    </w:div>
    <w:div w:id="646015244">
      <w:bodyDiv w:val="1"/>
      <w:marLeft w:val="0"/>
      <w:marRight w:val="0"/>
      <w:marTop w:val="0"/>
      <w:marBottom w:val="0"/>
      <w:divBdr>
        <w:top w:val="none" w:sz="0" w:space="0" w:color="auto"/>
        <w:left w:val="none" w:sz="0" w:space="0" w:color="auto"/>
        <w:bottom w:val="none" w:sz="0" w:space="0" w:color="auto"/>
        <w:right w:val="none" w:sz="0" w:space="0" w:color="auto"/>
      </w:divBdr>
    </w:div>
    <w:div w:id="671446986">
      <w:bodyDiv w:val="1"/>
      <w:marLeft w:val="0"/>
      <w:marRight w:val="0"/>
      <w:marTop w:val="0"/>
      <w:marBottom w:val="0"/>
      <w:divBdr>
        <w:top w:val="none" w:sz="0" w:space="0" w:color="auto"/>
        <w:left w:val="none" w:sz="0" w:space="0" w:color="auto"/>
        <w:bottom w:val="none" w:sz="0" w:space="0" w:color="auto"/>
        <w:right w:val="none" w:sz="0" w:space="0" w:color="auto"/>
      </w:divBdr>
    </w:div>
    <w:div w:id="678697029">
      <w:bodyDiv w:val="1"/>
      <w:marLeft w:val="0"/>
      <w:marRight w:val="0"/>
      <w:marTop w:val="0"/>
      <w:marBottom w:val="0"/>
      <w:divBdr>
        <w:top w:val="none" w:sz="0" w:space="0" w:color="auto"/>
        <w:left w:val="none" w:sz="0" w:space="0" w:color="auto"/>
        <w:bottom w:val="none" w:sz="0" w:space="0" w:color="auto"/>
        <w:right w:val="none" w:sz="0" w:space="0" w:color="auto"/>
      </w:divBdr>
    </w:div>
    <w:div w:id="683440671">
      <w:bodyDiv w:val="1"/>
      <w:marLeft w:val="0"/>
      <w:marRight w:val="0"/>
      <w:marTop w:val="0"/>
      <w:marBottom w:val="0"/>
      <w:divBdr>
        <w:top w:val="none" w:sz="0" w:space="0" w:color="auto"/>
        <w:left w:val="none" w:sz="0" w:space="0" w:color="auto"/>
        <w:bottom w:val="none" w:sz="0" w:space="0" w:color="auto"/>
        <w:right w:val="none" w:sz="0" w:space="0" w:color="auto"/>
      </w:divBdr>
    </w:div>
    <w:div w:id="691758226">
      <w:bodyDiv w:val="1"/>
      <w:marLeft w:val="0"/>
      <w:marRight w:val="0"/>
      <w:marTop w:val="0"/>
      <w:marBottom w:val="0"/>
      <w:divBdr>
        <w:top w:val="none" w:sz="0" w:space="0" w:color="auto"/>
        <w:left w:val="none" w:sz="0" w:space="0" w:color="auto"/>
        <w:bottom w:val="none" w:sz="0" w:space="0" w:color="auto"/>
        <w:right w:val="none" w:sz="0" w:space="0" w:color="auto"/>
      </w:divBdr>
    </w:div>
    <w:div w:id="710037592">
      <w:bodyDiv w:val="1"/>
      <w:marLeft w:val="0"/>
      <w:marRight w:val="0"/>
      <w:marTop w:val="0"/>
      <w:marBottom w:val="0"/>
      <w:divBdr>
        <w:top w:val="none" w:sz="0" w:space="0" w:color="auto"/>
        <w:left w:val="none" w:sz="0" w:space="0" w:color="auto"/>
        <w:bottom w:val="none" w:sz="0" w:space="0" w:color="auto"/>
        <w:right w:val="none" w:sz="0" w:space="0" w:color="auto"/>
      </w:divBdr>
    </w:div>
    <w:div w:id="720597472">
      <w:bodyDiv w:val="1"/>
      <w:marLeft w:val="0"/>
      <w:marRight w:val="0"/>
      <w:marTop w:val="0"/>
      <w:marBottom w:val="0"/>
      <w:divBdr>
        <w:top w:val="none" w:sz="0" w:space="0" w:color="auto"/>
        <w:left w:val="none" w:sz="0" w:space="0" w:color="auto"/>
        <w:bottom w:val="none" w:sz="0" w:space="0" w:color="auto"/>
        <w:right w:val="none" w:sz="0" w:space="0" w:color="auto"/>
      </w:divBdr>
    </w:div>
    <w:div w:id="722215723">
      <w:bodyDiv w:val="1"/>
      <w:marLeft w:val="0"/>
      <w:marRight w:val="0"/>
      <w:marTop w:val="0"/>
      <w:marBottom w:val="0"/>
      <w:divBdr>
        <w:top w:val="none" w:sz="0" w:space="0" w:color="auto"/>
        <w:left w:val="none" w:sz="0" w:space="0" w:color="auto"/>
        <w:bottom w:val="none" w:sz="0" w:space="0" w:color="auto"/>
        <w:right w:val="none" w:sz="0" w:space="0" w:color="auto"/>
      </w:divBdr>
    </w:div>
    <w:div w:id="722676657">
      <w:bodyDiv w:val="1"/>
      <w:marLeft w:val="0"/>
      <w:marRight w:val="0"/>
      <w:marTop w:val="0"/>
      <w:marBottom w:val="0"/>
      <w:divBdr>
        <w:top w:val="none" w:sz="0" w:space="0" w:color="auto"/>
        <w:left w:val="none" w:sz="0" w:space="0" w:color="auto"/>
        <w:bottom w:val="none" w:sz="0" w:space="0" w:color="auto"/>
        <w:right w:val="none" w:sz="0" w:space="0" w:color="auto"/>
      </w:divBdr>
    </w:div>
    <w:div w:id="724178508">
      <w:bodyDiv w:val="1"/>
      <w:marLeft w:val="0"/>
      <w:marRight w:val="0"/>
      <w:marTop w:val="0"/>
      <w:marBottom w:val="0"/>
      <w:divBdr>
        <w:top w:val="none" w:sz="0" w:space="0" w:color="auto"/>
        <w:left w:val="none" w:sz="0" w:space="0" w:color="auto"/>
        <w:bottom w:val="none" w:sz="0" w:space="0" w:color="auto"/>
        <w:right w:val="none" w:sz="0" w:space="0" w:color="auto"/>
      </w:divBdr>
    </w:div>
    <w:div w:id="726298725">
      <w:bodyDiv w:val="1"/>
      <w:marLeft w:val="0"/>
      <w:marRight w:val="0"/>
      <w:marTop w:val="0"/>
      <w:marBottom w:val="0"/>
      <w:divBdr>
        <w:top w:val="none" w:sz="0" w:space="0" w:color="auto"/>
        <w:left w:val="none" w:sz="0" w:space="0" w:color="auto"/>
        <w:bottom w:val="none" w:sz="0" w:space="0" w:color="auto"/>
        <w:right w:val="none" w:sz="0" w:space="0" w:color="auto"/>
      </w:divBdr>
    </w:div>
    <w:div w:id="727847617">
      <w:bodyDiv w:val="1"/>
      <w:marLeft w:val="0"/>
      <w:marRight w:val="0"/>
      <w:marTop w:val="0"/>
      <w:marBottom w:val="0"/>
      <w:divBdr>
        <w:top w:val="none" w:sz="0" w:space="0" w:color="auto"/>
        <w:left w:val="none" w:sz="0" w:space="0" w:color="auto"/>
        <w:bottom w:val="none" w:sz="0" w:space="0" w:color="auto"/>
        <w:right w:val="none" w:sz="0" w:space="0" w:color="auto"/>
      </w:divBdr>
    </w:div>
    <w:div w:id="728455562">
      <w:bodyDiv w:val="1"/>
      <w:marLeft w:val="0"/>
      <w:marRight w:val="0"/>
      <w:marTop w:val="0"/>
      <w:marBottom w:val="0"/>
      <w:divBdr>
        <w:top w:val="none" w:sz="0" w:space="0" w:color="auto"/>
        <w:left w:val="none" w:sz="0" w:space="0" w:color="auto"/>
        <w:bottom w:val="none" w:sz="0" w:space="0" w:color="auto"/>
        <w:right w:val="none" w:sz="0" w:space="0" w:color="auto"/>
      </w:divBdr>
    </w:div>
    <w:div w:id="739980851">
      <w:bodyDiv w:val="1"/>
      <w:marLeft w:val="0"/>
      <w:marRight w:val="0"/>
      <w:marTop w:val="0"/>
      <w:marBottom w:val="0"/>
      <w:divBdr>
        <w:top w:val="none" w:sz="0" w:space="0" w:color="auto"/>
        <w:left w:val="none" w:sz="0" w:space="0" w:color="auto"/>
        <w:bottom w:val="none" w:sz="0" w:space="0" w:color="auto"/>
        <w:right w:val="none" w:sz="0" w:space="0" w:color="auto"/>
      </w:divBdr>
    </w:div>
    <w:div w:id="752435445">
      <w:bodyDiv w:val="1"/>
      <w:marLeft w:val="0"/>
      <w:marRight w:val="0"/>
      <w:marTop w:val="0"/>
      <w:marBottom w:val="0"/>
      <w:divBdr>
        <w:top w:val="none" w:sz="0" w:space="0" w:color="auto"/>
        <w:left w:val="none" w:sz="0" w:space="0" w:color="auto"/>
        <w:bottom w:val="none" w:sz="0" w:space="0" w:color="auto"/>
        <w:right w:val="none" w:sz="0" w:space="0" w:color="auto"/>
      </w:divBdr>
    </w:div>
    <w:div w:id="783230212">
      <w:bodyDiv w:val="1"/>
      <w:marLeft w:val="0"/>
      <w:marRight w:val="0"/>
      <w:marTop w:val="0"/>
      <w:marBottom w:val="0"/>
      <w:divBdr>
        <w:top w:val="none" w:sz="0" w:space="0" w:color="auto"/>
        <w:left w:val="none" w:sz="0" w:space="0" w:color="auto"/>
        <w:bottom w:val="none" w:sz="0" w:space="0" w:color="auto"/>
        <w:right w:val="none" w:sz="0" w:space="0" w:color="auto"/>
      </w:divBdr>
    </w:div>
    <w:div w:id="786778172">
      <w:bodyDiv w:val="1"/>
      <w:marLeft w:val="0"/>
      <w:marRight w:val="0"/>
      <w:marTop w:val="0"/>
      <w:marBottom w:val="0"/>
      <w:divBdr>
        <w:top w:val="none" w:sz="0" w:space="0" w:color="auto"/>
        <w:left w:val="none" w:sz="0" w:space="0" w:color="auto"/>
        <w:bottom w:val="none" w:sz="0" w:space="0" w:color="auto"/>
        <w:right w:val="none" w:sz="0" w:space="0" w:color="auto"/>
      </w:divBdr>
    </w:div>
    <w:div w:id="811100443">
      <w:bodyDiv w:val="1"/>
      <w:marLeft w:val="0"/>
      <w:marRight w:val="0"/>
      <w:marTop w:val="0"/>
      <w:marBottom w:val="0"/>
      <w:divBdr>
        <w:top w:val="none" w:sz="0" w:space="0" w:color="auto"/>
        <w:left w:val="none" w:sz="0" w:space="0" w:color="auto"/>
        <w:bottom w:val="none" w:sz="0" w:space="0" w:color="auto"/>
        <w:right w:val="none" w:sz="0" w:space="0" w:color="auto"/>
      </w:divBdr>
    </w:div>
    <w:div w:id="842352870">
      <w:bodyDiv w:val="1"/>
      <w:marLeft w:val="0"/>
      <w:marRight w:val="0"/>
      <w:marTop w:val="0"/>
      <w:marBottom w:val="0"/>
      <w:divBdr>
        <w:top w:val="none" w:sz="0" w:space="0" w:color="auto"/>
        <w:left w:val="none" w:sz="0" w:space="0" w:color="auto"/>
        <w:bottom w:val="none" w:sz="0" w:space="0" w:color="auto"/>
        <w:right w:val="none" w:sz="0" w:space="0" w:color="auto"/>
      </w:divBdr>
    </w:div>
    <w:div w:id="842738730">
      <w:bodyDiv w:val="1"/>
      <w:marLeft w:val="0"/>
      <w:marRight w:val="0"/>
      <w:marTop w:val="0"/>
      <w:marBottom w:val="0"/>
      <w:divBdr>
        <w:top w:val="none" w:sz="0" w:space="0" w:color="auto"/>
        <w:left w:val="none" w:sz="0" w:space="0" w:color="auto"/>
        <w:bottom w:val="none" w:sz="0" w:space="0" w:color="auto"/>
        <w:right w:val="none" w:sz="0" w:space="0" w:color="auto"/>
      </w:divBdr>
    </w:div>
    <w:div w:id="872229803">
      <w:bodyDiv w:val="1"/>
      <w:marLeft w:val="0"/>
      <w:marRight w:val="0"/>
      <w:marTop w:val="0"/>
      <w:marBottom w:val="0"/>
      <w:divBdr>
        <w:top w:val="none" w:sz="0" w:space="0" w:color="auto"/>
        <w:left w:val="none" w:sz="0" w:space="0" w:color="auto"/>
        <w:bottom w:val="none" w:sz="0" w:space="0" w:color="auto"/>
        <w:right w:val="none" w:sz="0" w:space="0" w:color="auto"/>
      </w:divBdr>
    </w:div>
    <w:div w:id="874856074">
      <w:bodyDiv w:val="1"/>
      <w:marLeft w:val="0"/>
      <w:marRight w:val="0"/>
      <w:marTop w:val="0"/>
      <w:marBottom w:val="0"/>
      <w:divBdr>
        <w:top w:val="none" w:sz="0" w:space="0" w:color="auto"/>
        <w:left w:val="none" w:sz="0" w:space="0" w:color="auto"/>
        <w:bottom w:val="none" w:sz="0" w:space="0" w:color="auto"/>
        <w:right w:val="none" w:sz="0" w:space="0" w:color="auto"/>
      </w:divBdr>
    </w:div>
    <w:div w:id="877740044">
      <w:bodyDiv w:val="1"/>
      <w:marLeft w:val="0"/>
      <w:marRight w:val="0"/>
      <w:marTop w:val="0"/>
      <w:marBottom w:val="0"/>
      <w:divBdr>
        <w:top w:val="none" w:sz="0" w:space="0" w:color="auto"/>
        <w:left w:val="none" w:sz="0" w:space="0" w:color="auto"/>
        <w:bottom w:val="none" w:sz="0" w:space="0" w:color="auto"/>
        <w:right w:val="none" w:sz="0" w:space="0" w:color="auto"/>
      </w:divBdr>
    </w:div>
    <w:div w:id="914388980">
      <w:bodyDiv w:val="1"/>
      <w:marLeft w:val="0"/>
      <w:marRight w:val="0"/>
      <w:marTop w:val="0"/>
      <w:marBottom w:val="0"/>
      <w:divBdr>
        <w:top w:val="none" w:sz="0" w:space="0" w:color="auto"/>
        <w:left w:val="none" w:sz="0" w:space="0" w:color="auto"/>
        <w:bottom w:val="none" w:sz="0" w:space="0" w:color="auto"/>
        <w:right w:val="none" w:sz="0" w:space="0" w:color="auto"/>
      </w:divBdr>
    </w:div>
    <w:div w:id="918517181">
      <w:bodyDiv w:val="1"/>
      <w:marLeft w:val="0"/>
      <w:marRight w:val="0"/>
      <w:marTop w:val="0"/>
      <w:marBottom w:val="0"/>
      <w:divBdr>
        <w:top w:val="none" w:sz="0" w:space="0" w:color="auto"/>
        <w:left w:val="none" w:sz="0" w:space="0" w:color="auto"/>
        <w:bottom w:val="none" w:sz="0" w:space="0" w:color="auto"/>
        <w:right w:val="none" w:sz="0" w:space="0" w:color="auto"/>
      </w:divBdr>
    </w:div>
    <w:div w:id="933174470">
      <w:bodyDiv w:val="1"/>
      <w:marLeft w:val="0"/>
      <w:marRight w:val="0"/>
      <w:marTop w:val="0"/>
      <w:marBottom w:val="0"/>
      <w:divBdr>
        <w:top w:val="none" w:sz="0" w:space="0" w:color="auto"/>
        <w:left w:val="none" w:sz="0" w:space="0" w:color="auto"/>
        <w:bottom w:val="none" w:sz="0" w:space="0" w:color="auto"/>
        <w:right w:val="none" w:sz="0" w:space="0" w:color="auto"/>
      </w:divBdr>
    </w:div>
    <w:div w:id="937372515">
      <w:bodyDiv w:val="1"/>
      <w:marLeft w:val="0"/>
      <w:marRight w:val="0"/>
      <w:marTop w:val="0"/>
      <w:marBottom w:val="0"/>
      <w:divBdr>
        <w:top w:val="none" w:sz="0" w:space="0" w:color="auto"/>
        <w:left w:val="none" w:sz="0" w:space="0" w:color="auto"/>
        <w:bottom w:val="none" w:sz="0" w:space="0" w:color="auto"/>
        <w:right w:val="none" w:sz="0" w:space="0" w:color="auto"/>
      </w:divBdr>
    </w:div>
    <w:div w:id="944001593">
      <w:bodyDiv w:val="1"/>
      <w:marLeft w:val="0"/>
      <w:marRight w:val="0"/>
      <w:marTop w:val="0"/>
      <w:marBottom w:val="0"/>
      <w:divBdr>
        <w:top w:val="none" w:sz="0" w:space="0" w:color="auto"/>
        <w:left w:val="none" w:sz="0" w:space="0" w:color="auto"/>
        <w:bottom w:val="none" w:sz="0" w:space="0" w:color="auto"/>
        <w:right w:val="none" w:sz="0" w:space="0" w:color="auto"/>
      </w:divBdr>
    </w:div>
    <w:div w:id="955449356">
      <w:bodyDiv w:val="1"/>
      <w:marLeft w:val="0"/>
      <w:marRight w:val="0"/>
      <w:marTop w:val="0"/>
      <w:marBottom w:val="0"/>
      <w:divBdr>
        <w:top w:val="none" w:sz="0" w:space="0" w:color="auto"/>
        <w:left w:val="none" w:sz="0" w:space="0" w:color="auto"/>
        <w:bottom w:val="none" w:sz="0" w:space="0" w:color="auto"/>
        <w:right w:val="none" w:sz="0" w:space="0" w:color="auto"/>
      </w:divBdr>
    </w:div>
    <w:div w:id="957879182">
      <w:bodyDiv w:val="1"/>
      <w:marLeft w:val="0"/>
      <w:marRight w:val="0"/>
      <w:marTop w:val="0"/>
      <w:marBottom w:val="0"/>
      <w:divBdr>
        <w:top w:val="none" w:sz="0" w:space="0" w:color="auto"/>
        <w:left w:val="none" w:sz="0" w:space="0" w:color="auto"/>
        <w:bottom w:val="none" w:sz="0" w:space="0" w:color="auto"/>
        <w:right w:val="none" w:sz="0" w:space="0" w:color="auto"/>
      </w:divBdr>
    </w:div>
    <w:div w:id="1007635542">
      <w:bodyDiv w:val="1"/>
      <w:marLeft w:val="0"/>
      <w:marRight w:val="0"/>
      <w:marTop w:val="0"/>
      <w:marBottom w:val="0"/>
      <w:divBdr>
        <w:top w:val="none" w:sz="0" w:space="0" w:color="auto"/>
        <w:left w:val="none" w:sz="0" w:space="0" w:color="auto"/>
        <w:bottom w:val="none" w:sz="0" w:space="0" w:color="auto"/>
        <w:right w:val="none" w:sz="0" w:space="0" w:color="auto"/>
      </w:divBdr>
    </w:div>
    <w:div w:id="1014529825">
      <w:bodyDiv w:val="1"/>
      <w:marLeft w:val="0"/>
      <w:marRight w:val="0"/>
      <w:marTop w:val="0"/>
      <w:marBottom w:val="0"/>
      <w:divBdr>
        <w:top w:val="none" w:sz="0" w:space="0" w:color="auto"/>
        <w:left w:val="none" w:sz="0" w:space="0" w:color="auto"/>
        <w:bottom w:val="none" w:sz="0" w:space="0" w:color="auto"/>
        <w:right w:val="none" w:sz="0" w:space="0" w:color="auto"/>
      </w:divBdr>
    </w:div>
    <w:div w:id="1019623435">
      <w:bodyDiv w:val="1"/>
      <w:marLeft w:val="0"/>
      <w:marRight w:val="0"/>
      <w:marTop w:val="0"/>
      <w:marBottom w:val="0"/>
      <w:divBdr>
        <w:top w:val="none" w:sz="0" w:space="0" w:color="auto"/>
        <w:left w:val="none" w:sz="0" w:space="0" w:color="auto"/>
        <w:bottom w:val="none" w:sz="0" w:space="0" w:color="auto"/>
        <w:right w:val="none" w:sz="0" w:space="0" w:color="auto"/>
      </w:divBdr>
    </w:div>
    <w:div w:id="1025059588">
      <w:bodyDiv w:val="1"/>
      <w:marLeft w:val="0"/>
      <w:marRight w:val="0"/>
      <w:marTop w:val="0"/>
      <w:marBottom w:val="0"/>
      <w:divBdr>
        <w:top w:val="none" w:sz="0" w:space="0" w:color="auto"/>
        <w:left w:val="none" w:sz="0" w:space="0" w:color="auto"/>
        <w:bottom w:val="none" w:sz="0" w:space="0" w:color="auto"/>
        <w:right w:val="none" w:sz="0" w:space="0" w:color="auto"/>
      </w:divBdr>
    </w:div>
    <w:div w:id="1029138551">
      <w:bodyDiv w:val="1"/>
      <w:marLeft w:val="0"/>
      <w:marRight w:val="0"/>
      <w:marTop w:val="0"/>
      <w:marBottom w:val="0"/>
      <w:divBdr>
        <w:top w:val="none" w:sz="0" w:space="0" w:color="auto"/>
        <w:left w:val="none" w:sz="0" w:space="0" w:color="auto"/>
        <w:bottom w:val="none" w:sz="0" w:space="0" w:color="auto"/>
        <w:right w:val="none" w:sz="0" w:space="0" w:color="auto"/>
      </w:divBdr>
    </w:div>
    <w:div w:id="1032420523">
      <w:bodyDiv w:val="1"/>
      <w:marLeft w:val="0"/>
      <w:marRight w:val="0"/>
      <w:marTop w:val="0"/>
      <w:marBottom w:val="0"/>
      <w:divBdr>
        <w:top w:val="none" w:sz="0" w:space="0" w:color="auto"/>
        <w:left w:val="none" w:sz="0" w:space="0" w:color="auto"/>
        <w:bottom w:val="none" w:sz="0" w:space="0" w:color="auto"/>
        <w:right w:val="none" w:sz="0" w:space="0" w:color="auto"/>
      </w:divBdr>
    </w:div>
    <w:div w:id="1039430640">
      <w:bodyDiv w:val="1"/>
      <w:marLeft w:val="0"/>
      <w:marRight w:val="0"/>
      <w:marTop w:val="0"/>
      <w:marBottom w:val="0"/>
      <w:divBdr>
        <w:top w:val="none" w:sz="0" w:space="0" w:color="auto"/>
        <w:left w:val="none" w:sz="0" w:space="0" w:color="auto"/>
        <w:bottom w:val="none" w:sz="0" w:space="0" w:color="auto"/>
        <w:right w:val="none" w:sz="0" w:space="0" w:color="auto"/>
      </w:divBdr>
    </w:div>
    <w:div w:id="1049845108">
      <w:bodyDiv w:val="1"/>
      <w:marLeft w:val="0"/>
      <w:marRight w:val="0"/>
      <w:marTop w:val="0"/>
      <w:marBottom w:val="0"/>
      <w:divBdr>
        <w:top w:val="none" w:sz="0" w:space="0" w:color="auto"/>
        <w:left w:val="none" w:sz="0" w:space="0" w:color="auto"/>
        <w:bottom w:val="none" w:sz="0" w:space="0" w:color="auto"/>
        <w:right w:val="none" w:sz="0" w:space="0" w:color="auto"/>
      </w:divBdr>
    </w:div>
    <w:div w:id="1067338804">
      <w:bodyDiv w:val="1"/>
      <w:marLeft w:val="0"/>
      <w:marRight w:val="0"/>
      <w:marTop w:val="0"/>
      <w:marBottom w:val="0"/>
      <w:divBdr>
        <w:top w:val="none" w:sz="0" w:space="0" w:color="auto"/>
        <w:left w:val="none" w:sz="0" w:space="0" w:color="auto"/>
        <w:bottom w:val="none" w:sz="0" w:space="0" w:color="auto"/>
        <w:right w:val="none" w:sz="0" w:space="0" w:color="auto"/>
      </w:divBdr>
      <w:divsChild>
        <w:div w:id="739908076">
          <w:marLeft w:val="0"/>
          <w:marRight w:val="0"/>
          <w:marTop w:val="0"/>
          <w:marBottom w:val="0"/>
          <w:divBdr>
            <w:top w:val="none" w:sz="0" w:space="0" w:color="auto"/>
            <w:left w:val="none" w:sz="0" w:space="0" w:color="auto"/>
            <w:bottom w:val="none" w:sz="0" w:space="0" w:color="auto"/>
            <w:right w:val="none" w:sz="0" w:space="0" w:color="auto"/>
          </w:divBdr>
        </w:div>
        <w:div w:id="1949198956">
          <w:marLeft w:val="0"/>
          <w:marRight w:val="0"/>
          <w:marTop w:val="0"/>
          <w:marBottom w:val="0"/>
          <w:divBdr>
            <w:top w:val="none" w:sz="0" w:space="0" w:color="auto"/>
            <w:left w:val="none" w:sz="0" w:space="0" w:color="auto"/>
            <w:bottom w:val="none" w:sz="0" w:space="0" w:color="auto"/>
            <w:right w:val="none" w:sz="0" w:space="0" w:color="auto"/>
          </w:divBdr>
        </w:div>
        <w:div w:id="1252854954">
          <w:marLeft w:val="0"/>
          <w:marRight w:val="0"/>
          <w:marTop w:val="0"/>
          <w:marBottom w:val="0"/>
          <w:divBdr>
            <w:top w:val="none" w:sz="0" w:space="0" w:color="auto"/>
            <w:left w:val="none" w:sz="0" w:space="0" w:color="auto"/>
            <w:bottom w:val="none" w:sz="0" w:space="0" w:color="auto"/>
            <w:right w:val="none" w:sz="0" w:space="0" w:color="auto"/>
          </w:divBdr>
        </w:div>
        <w:div w:id="1512139557">
          <w:marLeft w:val="0"/>
          <w:marRight w:val="0"/>
          <w:marTop w:val="0"/>
          <w:marBottom w:val="0"/>
          <w:divBdr>
            <w:top w:val="none" w:sz="0" w:space="0" w:color="auto"/>
            <w:left w:val="none" w:sz="0" w:space="0" w:color="auto"/>
            <w:bottom w:val="none" w:sz="0" w:space="0" w:color="auto"/>
            <w:right w:val="none" w:sz="0" w:space="0" w:color="auto"/>
          </w:divBdr>
        </w:div>
        <w:div w:id="579485369">
          <w:marLeft w:val="0"/>
          <w:marRight w:val="0"/>
          <w:marTop w:val="0"/>
          <w:marBottom w:val="0"/>
          <w:divBdr>
            <w:top w:val="none" w:sz="0" w:space="0" w:color="auto"/>
            <w:left w:val="none" w:sz="0" w:space="0" w:color="auto"/>
            <w:bottom w:val="none" w:sz="0" w:space="0" w:color="auto"/>
            <w:right w:val="none" w:sz="0" w:space="0" w:color="auto"/>
          </w:divBdr>
        </w:div>
        <w:div w:id="1271625117">
          <w:marLeft w:val="0"/>
          <w:marRight w:val="0"/>
          <w:marTop w:val="0"/>
          <w:marBottom w:val="0"/>
          <w:divBdr>
            <w:top w:val="none" w:sz="0" w:space="0" w:color="auto"/>
            <w:left w:val="none" w:sz="0" w:space="0" w:color="auto"/>
            <w:bottom w:val="none" w:sz="0" w:space="0" w:color="auto"/>
            <w:right w:val="none" w:sz="0" w:space="0" w:color="auto"/>
          </w:divBdr>
        </w:div>
        <w:div w:id="1037311049">
          <w:marLeft w:val="0"/>
          <w:marRight w:val="0"/>
          <w:marTop w:val="0"/>
          <w:marBottom w:val="0"/>
          <w:divBdr>
            <w:top w:val="none" w:sz="0" w:space="0" w:color="auto"/>
            <w:left w:val="none" w:sz="0" w:space="0" w:color="auto"/>
            <w:bottom w:val="none" w:sz="0" w:space="0" w:color="auto"/>
            <w:right w:val="none" w:sz="0" w:space="0" w:color="auto"/>
          </w:divBdr>
        </w:div>
      </w:divsChild>
    </w:div>
    <w:div w:id="1084496955">
      <w:bodyDiv w:val="1"/>
      <w:marLeft w:val="0"/>
      <w:marRight w:val="0"/>
      <w:marTop w:val="0"/>
      <w:marBottom w:val="0"/>
      <w:divBdr>
        <w:top w:val="none" w:sz="0" w:space="0" w:color="auto"/>
        <w:left w:val="none" w:sz="0" w:space="0" w:color="auto"/>
        <w:bottom w:val="none" w:sz="0" w:space="0" w:color="auto"/>
        <w:right w:val="none" w:sz="0" w:space="0" w:color="auto"/>
      </w:divBdr>
    </w:div>
    <w:div w:id="1094280543">
      <w:bodyDiv w:val="1"/>
      <w:marLeft w:val="0"/>
      <w:marRight w:val="0"/>
      <w:marTop w:val="0"/>
      <w:marBottom w:val="0"/>
      <w:divBdr>
        <w:top w:val="none" w:sz="0" w:space="0" w:color="auto"/>
        <w:left w:val="none" w:sz="0" w:space="0" w:color="auto"/>
        <w:bottom w:val="none" w:sz="0" w:space="0" w:color="auto"/>
        <w:right w:val="none" w:sz="0" w:space="0" w:color="auto"/>
      </w:divBdr>
    </w:div>
    <w:div w:id="1095172281">
      <w:bodyDiv w:val="1"/>
      <w:marLeft w:val="0"/>
      <w:marRight w:val="0"/>
      <w:marTop w:val="0"/>
      <w:marBottom w:val="0"/>
      <w:divBdr>
        <w:top w:val="none" w:sz="0" w:space="0" w:color="auto"/>
        <w:left w:val="none" w:sz="0" w:space="0" w:color="auto"/>
        <w:bottom w:val="none" w:sz="0" w:space="0" w:color="auto"/>
        <w:right w:val="none" w:sz="0" w:space="0" w:color="auto"/>
      </w:divBdr>
    </w:div>
    <w:div w:id="1095439600">
      <w:bodyDiv w:val="1"/>
      <w:marLeft w:val="0"/>
      <w:marRight w:val="0"/>
      <w:marTop w:val="0"/>
      <w:marBottom w:val="0"/>
      <w:divBdr>
        <w:top w:val="none" w:sz="0" w:space="0" w:color="auto"/>
        <w:left w:val="none" w:sz="0" w:space="0" w:color="auto"/>
        <w:bottom w:val="none" w:sz="0" w:space="0" w:color="auto"/>
        <w:right w:val="none" w:sz="0" w:space="0" w:color="auto"/>
      </w:divBdr>
    </w:div>
    <w:div w:id="1096630824">
      <w:bodyDiv w:val="1"/>
      <w:marLeft w:val="0"/>
      <w:marRight w:val="0"/>
      <w:marTop w:val="0"/>
      <w:marBottom w:val="0"/>
      <w:divBdr>
        <w:top w:val="none" w:sz="0" w:space="0" w:color="auto"/>
        <w:left w:val="none" w:sz="0" w:space="0" w:color="auto"/>
        <w:bottom w:val="none" w:sz="0" w:space="0" w:color="auto"/>
        <w:right w:val="none" w:sz="0" w:space="0" w:color="auto"/>
      </w:divBdr>
      <w:divsChild>
        <w:div w:id="1611281857">
          <w:marLeft w:val="1080"/>
          <w:marRight w:val="0"/>
          <w:marTop w:val="100"/>
          <w:marBottom w:val="0"/>
          <w:divBdr>
            <w:top w:val="none" w:sz="0" w:space="0" w:color="auto"/>
            <w:left w:val="none" w:sz="0" w:space="0" w:color="auto"/>
            <w:bottom w:val="none" w:sz="0" w:space="0" w:color="auto"/>
            <w:right w:val="none" w:sz="0" w:space="0" w:color="auto"/>
          </w:divBdr>
        </w:div>
        <w:div w:id="1814173916">
          <w:marLeft w:val="1080"/>
          <w:marRight w:val="0"/>
          <w:marTop w:val="100"/>
          <w:marBottom w:val="0"/>
          <w:divBdr>
            <w:top w:val="none" w:sz="0" w:space="0" w:color="auto"/>
            <w:left w:val="none" w:sz="0" w:space="0" w:color="auto"/>
            <w:bottom w:val="none" w:sz="0" w:space="0" w:color="auto"/>
            <w:right w:val="none" w:sz="0" w:space="0" w:color="auto"/>
          </w:divBdr>
        </w:div>
        <w:div w:id="257179348">
          <w:marLeft w:val="1080"/>
          <w:marRight w:val="0"/>
          <w:marTop w:val="100"/>
          <w:marBottom w:val="0"/>
          <w:divBdr>
            <w:top w:val="none" w:sz="0" w:space="0" w:color="auto"/>
            <w:left w:val="none" w:sz="0" w:space="0" w:color="auto"/>
            <w:bottom w:val="none" w:sz="0" w:space="0" w:color="auto"/>
            <w:right w:val="none" w:sz="0" w:space="0" w:color="auto"/>
          </w:divBdr>
        </w:div>
        <w:div w:id="93404942">
          <w:marLeft w:val="1080"/>
          <w:marRight w:val="0"/>
          <w:marTop w:val="100"/>
          <w:marBottom w:val="0"/>
          <w:divBdr>
            <w:top w:val="none" w:sz="0" w:space="0" w:color="auto"/>
            <w:left w:val="none" w:sz="0" w:space="0" w:color="auto"/>
            <w:bottom w:val="none" w:sz="0" w:space="0" w:color="auto"/>
            <w:right w:val="none" w:sz="0" w:space="0" w:color="auto"/>
          </w:divBdr>
        </w:div>
        <w:div w:id="1785735029">
          <w:marLeft w:val="1080"/>
          <w:marRight w:val="0"/>
          <w:marTop w:val="100"/>
          <w:marBottom w:val="0"/>
          <w:divBdr>
            <w:top w:val="none" w:sz="0" w:space="0" w:color="auto"/>
            <w:left w:val="none" w:sz="0" w:space="0" w:color="auto"/>
            <w:bottom w:val="none" w:sz="0" w:space="0" w:color="auto"/>
            <w:right w:val="none" w:sz="0" w:space="0" w:color="auto"/>
          </w:divBdr>
        </w:div>
      </w:divsChild>
    </w:div>
    <w:div w:id="1149635628">
      <w:bodyDiv w:val="1"/>
      <w:marLeft w:val="0"/>
      <w:marRight w:val="0"/>
      <w:marTop w:val="0"/>
      <w:marBottom w:val="0"/>
      <w:divBdr>
        <w:top w:val="none" w:sz="0" w:space="0" w:color="auto"/>
        <w:left w:val="none" w:sz="0" w:space="0" w:color="auto"/>
        <w:bottom w:val="none" w:sz="0" w:space="0" w:color="auto"/>
        <w:right w:val="none" w:sz="0" w:space="0" w:color="auto"/>
      </w:divBdr>
    </w:div>
    <w:div w:id="1151949760">
      <w:bodyDiv w:val="1"/>
      <w:marLeft w:val="0"/>
      <w:marRight w:val="0"/>
      <w:marTop w:val="0"/>
      <w:marBottom w:val="0"/>
      <w:divBdr>
        <w:top w:val="none" w:sz="0" w:space="0" w:color="auto"/>
        <w:left w:val="none" w:sz="0" w:space="0" w:color="auto"/>
        <w:bottom w:val="none" w:sz="0" w:space="0" w:color="auto"/>
        <w:right w:val="none" w:sz="0" w:space="0" w:color="auto"/>
      </w:divBdr>
    </w:div>
    <w:div w:id="1173691580">
      <w:bodyDiv w:val="1"/>
      <w:marLeft w:val="0"/>
      <w:marRight w:val="0"/>
      <w:marTop w:val="0"/>
      <w:marBottom w:val="0"/>
      <w:divBdr>
        <w:top w:val="none" w:sz="0" w:space="0" w:color="auto"/>
        <w:left w:val="none" w:sz="0" w:space="0" w:color="auto"/>
        <w:bottom w:val="none" w:sz="0" w:space="0" w:color="auto"/>
        <w:right w:val="none" w:sz="0" w:space="0" w:color="auto"/>
      </w:divBdr>
    </w:div>
    <w:div w:id="1176194366">
      <w:bodyDiv w:val="1"/>
      <w:marLeft w:val="0"/>
      <w:marRight w:val="0"/>
      <w:marTop w:val="0"/>
      <w:marBottom w:val="0"/>
      <w:divBdr>
        <w:top w:val="none" w:sz="0" w:space="0" w:color="auto"/>
        <w:left w:val="none" w:sz="0" w:space="0" w:color="auto"/>
        <w:bottom w:val="none" w:sz="0" w:space="0" w:color="auto"/>
        <w:right w:val="none" w:sz="0" w:space="0" w:color="auto"/>
      </w:divBdr>
    </w:div>
    <w:div w:id="1195922272">
      <w:bodyDiv w:val="1"/>
      <w:marLeft w:val="0"/>
      <w:marRight w:val="0"/>
      <w:marTop w:val="0"/>
      <w:marBottom w:val="0"/>
      <w:divBdr>
        <w:top w:val="none" w:sz="0" w:space="0" w:color="auto"/>
        <w:left w:val="none" w:sz="0" w:space="0" w:color="auto"/>
        <w:bottom w:val="none" w:sz="0" w:space="0" w:color="auto"/>
        <w:right w:val="none" w:sz="0" w:space="0" w:color="auto"/>
      </w:divBdr>
    </w:div>
    <w:div w:id="1215240764">
      <w:bodyDiv w:val="1"/>
      <w:marLeft w:val="0"/>
      <w:marRight w:val="0"/>
      <w:marTop w:val="0"/>
      <w:marBottom w:val="0"/>
      <w:divBdr>
        <w:top w:val="none" w:sz="0" w:space="0" w:color="auto"/>
        <w:left w:val="none" w:sz="0" w:space="0" w:color="auto"/>
        <w:bottom w:val="none" w:sz="0" w:space="0" w:color="auto"/>
        <w:right w:val="none" w:sz="0" w:space="0" w:color="auto"/>
      </w:divBdr>
    </w:div>
    <w:div w:id="1216773089">
      <w:bodyDiv w:val="1"/>
      <w:marLeft w:val="0"/>
      <w:marRight w:val="0"/>
      <w:marTop w:val="0"/>
      <w:marBottom w:val="0"/>
      <w:divBdr>
        <w:top w:val="none" w:sz="0" w:space="0" w:color="auto"/>
        <w:left w:val="none" w:sz="0" w:space="0" w:color="auto"/>
        <w:bottom w:val="none" w:sz="0" w:space="0" w:color="auto"/>
        <w:right w:val="none" w:sz="0" w:space="0" w:color="auto"/>
      </w:divBdr>
    </w:div>
    <w:div w:id="1216887543">
      <w:bodyDiv w:val="1"/>
      <w:marLeft w:val="0"/>
      <w:marRight w:val="0"/>
      <w:marTop w:val="0"/>
      <w:marBottom w:val="0"/>
      <w:divBdr>
        <w:top w:val="none" w:sz="0" w:space="0" w:color="auto"/>
        <w:left w:val="none" w:sz="0" w:space="0" w:color="auto"/>
        <w:bottom w:val="none" w:sz="0" w:space="0" w:color="auto"/>
        <w:right w:val="none" w:sz="0" w:space="0" w:color="auto"/>
      </w:divBdr>
    </w:div>
    <w:div w:id="1238052196">
      <w:bodyDiv w:val="1"/>
      <w:marLeft w:val="0"/>
      <w:marRight w:val="0"/>
      <w:marTop w:val="0"/>
      <w:marBottom w:val="0"/>
      <w:divBdr>
        <w:top w:val="none" w:sz="0" w:space="0" w:color="auto"/>
        <w:left w:val="none" w:sz="0" w:space="0" w:color="auto"/>
        <w:bottom w:val="none" w:sz="0" w:space="0" w:color="auto"/>
        <w:right w:val="none" w:sz="0" w:space="0" w:color="auto"/>
      </w:divBdr>
    </w:div>
    <w:div w:id="1243875253">
      <w:bodyDiv w:val="1"/>
      <w:marLeft w:val="0"/>
      <w:marRight w:val="0"/>
      <w:marTop w:val="0"/>
      <w:marBottom w:val="0"/>
      <w:divBdr>
        <w:top w:val="none" w:sz="0" w:space="0" w:color="auto"/>
        <w:left w:val="none" w:sz="0" w:space="0" w:color="auto"/>
        <w:bottom w:val="none" w:sz="0" w:space="0" w:color="auto"/>
        <w:right w:val="none" w:sz="0" w:space="0" w:color="auto"/>
      </w:divBdr>
    </w:div>
    <w:div w:id="1247349265">
      <w:bodyDiv w:val="1"/>
      <w:marLeft w:val="0"/>
      <w:marRight w:val="0"/>
      <w:marTop w:val="0"/>
      <w:marBottom w:val="0"/>
      <w:divBdr>
        <w:top w:val="none" w:sz="0" w:space="0" w:color="auto"/>
        <w:left w:val="none" w:sz="0" w:space="0" w:color="auto"/>
        <w:bottom w:val="none" w:sz="0" w:space="0" w:color="auto"/>
        <w:right w:val="none" w:sz="0" w:space="0" w:color="auto"/>
      </w:divBdr>
    </w:div>
    <w:div w:id="1282491160">
      <w:bodyDiv w:val="1"/>
      <w:marLeft w:val="0"/>
      <w:marRight w:val="0"/>
      <w:marTop w:val="0"/>
      <w:marBottom w:val="0"/>
      <w:divBdr>
        <w:top w:val="none" w:sz="0" w:space="0" w:color="auto"/>
        <w:left w:val="none" w:sz="0" w:space="0" w:color="auto"/>
        <w:bottom w:val="none" w:sz="0" w:space="0" w:color="auto"/>
        <w:right w:val="none" w:sz="0" w:space="0" w:color="auto"/>
      </w:divBdr>
    </w:div>
    <w:div w:id="1308431837">
      <w:bodyDiv w:val="1"/>
      <w:marLeft w:val="0"/>
      <w:marRight w:val="0"/>
      <w:marTop w:val="0"/>
      <w:marBottom w:val="0"/>
      <w:divBdr>
        <w:top w:val="none" w:sz="0" w:space="0" w:color="auto"/>
        <w:left w:val="none" w:sz="0" w:space="0" w:color="auto"/>
        <w:bottom w:val="none" w:sz="0" w:space="0" w:color="auto"/>
        <w:right w:val="none" w:sz="0" w:space="0" w:color="auto"/>
      </w:divBdr>
    </w:div>
    <w:div w:id="1330333283">
      <w:bodyDiv w:val="1"/>
      <w:marLeft w:val="0"/>
      <w:marRight w:val="0"/>
      <w:marTop w:val="0"/>
      <w:marBottom w:val="0"/>
      <w:divBdr>
        <w:top w:val="none" w:sz="0" w:space="0" w:color="auto"/>
        <w:left w:val="none" w:sz="0" w:space="0" w:color="auto"/>
        <w:bottom w:val="none" w:sz="0" w:space="0" w:color="auto"/>
        <w:right w:val="none" w:sz="0" w:space="0" w:color="auto"/>
      </w:divBdr>
    </w:div>
    <w:div w:id="1341161139">
      <w:bodyDiv w:val="1"/>
      <w:marLeft w:val="0"/>
      <w:marRight w:val="0"/>
      <w:marTop w:val="0"/>
      <w:marBottom w:val="0"/>
      <w:divBdr>
        <w:top w:val="none" w:sz="0" w:space="0" w:color="auto"/>
        <w:left w:val="none" w:sz="0" w:space="0" w:color="auto"/>
        <w:bottom w:val="none" w:sz="0" w:space="0" w:color="auto"/>
        <w:right w:val="none" w:sz="0" w:space="0" w:color="auto"/>
      </w:divBdr>
    </w:div>
    <w:div w:id="1341195625">
      <w:bodyDiv w:val="1"/>
      <w:marLeft w:val="0"/>
      <w:marRight w:val="0"/>
      <w:marTop w:val="0"/>
      <w:marBottom w:val="0"/>
      <w:divBdr>
        <w:top w:val="none" w:sz="0" w:space="0" w:color="auto"/>
        <w:left w:val="none" w:sz="0" w:space="0" w:color="auto"/>
        <w:bottom w:val="none" w:sz="0" w:space="0" w:color="auto"/>
        <w:right w:val="none" w:sz="0" w:space="0" w:color="auto"/>
      </w:divBdr>
    </w:div>
    <w:div w:id="1356613159">
      <w:bodyDiv w:val="1"/>
      <w:marLeft w:val="0"/>
      <w:marRight w:val="0"/>
      <w:marTop w:val="0"/>
      <w:marBottom w:val="0"/>
      <w:divBdr>
        <w:top w:val="none" w:sz="0" w:space="0" w:color="auto"/>
        <w:left w:val="none" w:sz="0" w:space="0" w:color="auto"/>
        <w:bottom w:val="none" w:sz="0" w:space="0" w:color="auto"/>
        <w:right w:val="none" w:sz="0" w:space="0" w:color="auto"/>
      </w:divBdr>
      <w:divsChild>
        <w:div w:id="980160484">
          <w:marLeft w:val="0"/>
          <w:marRight w:val="0"/>
          <w:marTop w:val="0"/>
          <w:marBottom w:val="0"/>
          <w:divBdr>
            <w:top w:val="none" w:sz="0" w:space="0" w:color="auto"/>
            <w:left w:val="none" w:sz="0" w:space="0" w:color="auto"/>
            <w:bottom w:val="none" w:sz="0" w:space="0" w:color="auto"/>
            <w:right w:val="none" w:sz="0" w:space="0" w:color="auto"/>
          </w:divBdr>
        </w:div>
        <w:div w:id="701900423">
          <w:marLeft w:val="0"/>
          <w:marRight w:val="0"/>
          <w:marTop w:val="0"/>
          <w:marBottom w:val="0"/>
          <w:divBdr>
            <w:top w:val="none" w:sz="0" w:space="0" w:color="auto"/>
            <w:left w:val="none" w:sz="0" w:space="0" w:color="auto"/>
            <w:bottom w:val="none" w:sz="0" w:space="0" w:color="auto"/>
            <w:right w:val="none" w:sz="0" w:space="0" w:color="auto"/>
          </w:divBdr>
        </w:div>
        <w:div w:id="597761954">
          <w:marLeft w:val="0"/>
          <w:marRight w:val="0"/>
          <w:marTop w:val="0"/>
          <w:marBottom w:val="0"/>
          <w:divBdr>
            <w:top w:val="none" w:sz="0" w:space="0" w:color="auto"/>
            <w:left w:val="none" w:sz="0" w:space="0" w:color="auto"/>
            <w:bottom w:val="none" w:sz="0" w:space="0" w:color="auto"/>
            <w:right w:val="none" w:sz="0" w:space="0" w:color="auto"/>
          </w:divBdr>
        </w:div>
        <w:div w:id="765467755">
          <w:marLeft w:val="0"/>
          <w:marRight w:val="0"/>
          <w:marTop w:val="0"/>
          <w:marBottom w:val="0"/>
          <w:divBdr>
            <w:top w:val="none" w:sz="0" w:space="0" w:color="auto"/>
            <w:left w:val="none" w:sz="0" w:space="0" w:color="auto"/>
            <w:bottom w:val="none" w:sz="0" w:space="0" w:color="auto"/>
            <w:right w:val="none" w:sz="0" w:space="0" w:color="auto"/>
          </w:divBdr>
        </w:div>
        <w:div w:id="944965708">
          <w:marLeft w:val="0"/>
          <w:marRight w:val="0"/>
          <w:marTop w:val="0"/>
          <w:marBottom w:val="0"/>
          <w:divBdr>
            <w:top w:val="none" w:sz="0" w:space="0" w:color="auto"/>
            <w:left w:val="none" w:sz="0" w:space="0" w:color="auto"/>
            <w:bottom w:val="none" w:sz="0" w:space="0" w:color="auto"/>
            <w:right w:val="none" w:sz="0" w:space="0" w:color="auto"/>
          </w:divBdr>
        </w:div>
      </w:divsChild>
    </w:div>
    <w:div w:id="1362710327">
      <w:bodyDiv w:val="1"/>
      <w:marLeft w:val="0"/>
      <w:marRight w:val="0"/>
      <w:marTop w:val="0"/>
      <w:marBottom w:val="0"/>
      <w:divBdr>
        <w:top w:val="none" w:sz="0" w:space="0" w:color="auto"/>
        <w:left w:val="none" w:sz="0" w:space="0" w:color="auto"/>
        <w:bottom w:val="none" w:sz="0" w:space="0" w:color="auto"/>
        <w:right w:val="none" w:sz="0" w:space="0" w:color="auto"/>
      </w:divBdr>
    </w:div>
    <w:div w:id="1367178016">
      <w:bodyDiv w:val="1"/>
      <w:marLeft w:val="0"/>
      <w:marRight w:val="0"/>
      <w:marTop w:val="0"/>
      <w:marBottom w:val="0"/>
      <w:divBdr>
        <w:top w:val="none" w:sz="0" w:space="0" w:color="auto"/>
        <w:left w:val="none" w:sz="0" w:space="0" w:color="auto"/>
        <w:bottom w:val="none" w:sz="0" w:space="0" w:color="auto"/>
        <w:right w:val="none" w:sz="0" w:space="0" w:color="auto"/>
      </w:divBdr>
    </w:div>
    <w:div w:id="1370376306">
      <w:bodyDiv w:val="1"/>
      <w:marLeft w:val="0"/>
      <w:marRight w:val="0"/>
      <w:marTop w:val="0"/>
      <w:marBottom w:val="0"/>
      <w:divBdr>
        <w:top w:val="none" w:sz="0" w:space="0" w:color="auto"/>
        <w:left w:val="none" w:sz="0" w:space="0" w:color="auto"/>
        <w:bottom w:val="none" w:sz="0" w:space="0" w:color="auto"/>
        <w:right w:val="none" w:sz="0" w:space="0" w:color="auto"/>
      </w:divBdr>
    </w:div>
    <w:div w:id="1395280953">
      <w:bodyDiv w:val="1"/>
      <w:marLeft w:val="0"/>
      <w:marRight w:val="0"/>
      <w:marTop w:val="0"/>
      <w:marBottom w:val="0"/>
      <w:divBdr>
        <w:top w:val="none" w:sz="0" w:space="0" w:color="auto"/>
        <w:left w:val="none" w:sz="0" w:space="0" w:color="auto"/>
        <w:bottom w:val="none" w:sz="0" w:space="0" w:color="auto"/>
        <w:right w:val="none" w:sz="0" w:space="0" w:color="auto"/>
      </w:divBdr>
    </w:div>
    <w:div w:id="1405954879">
      <w:bodyDiv w:val="1"/>
      <w:marLeft w:val="0"/>
      <w:marRight w:val="0"/>
      <w:marTop w:val="0"/>
      <w:marBottom w:val="0"/>
      <w:divBdr>
        <w:top w:val="none" w:sz="0" w:space="0" w:color="auto"/>
        <w:left w:val="none" w:sz="0" w:space="0" w:color="auto"/>
        <w:bottom w:val="none" w:sz="0" w:space="0" w:color="auto"/>
        <w:right w:val="none" w:sz="0" w:space="0" w:color="auto"/>
      </w:divBdr>
    </w:div>
    <w:div w:id="1419447619">
      <w:bodyDiv w:val="1"/>
      <w:marLeft w:val="0"/>
      <w:marRight w:val="0"/>
      <w:marTop w:val="0"/>
      <w:marBottom w:val="0"/>
      <w:divBdr>
        <w:top w:val="none" w:sz="0" w:space="0" w:color="auto"/>
        <w:left w:val="none" w:sz="0" w:space="0" w:color="auto"/>
        <w:bottom w:val="none" w:sz="0" w:space="0" w:color="auto"/>
        <w:right w:val="none" w:sz="0" w:space="0" w:color="auto"/>
      </w:divBdr>
    </w:div>
    <w:div w:id="1425301190">
      <w:bodyDiv w:val="1"/>
      <w:marLeft w:val="0"/>
      <w:marRight w:val="0"/>
      <w:marTop w:val="0"/>
      <w:marBottom w:val="0"/>
      <w:divBdr>
        <w:top w:val="none" w:sz="0" w:space="0" w:color="auto"/>
        <w:left w:val="none" w:sz="0" w:space="0" w:color="auto"/>
        <w:bottom w:val="none" w:sz="0" w:space="0" w:color="auto"/>
        <w:right w:val="none" w:sz="0" w:space="0" w:color="auto"/>
      </w:divBdr>
    </w:div>
    <w:div w:id="1436555863">
      <w:bodyDiv w:val="1"/>
      <w:marLeft w:val="0"/>
      <w:marRight w:val="0"/>
      <w:marTop w:val="0"/>
      <w:marBottom w:val="0"/>
      <w:divBdr>
        <w:top w:val="none" w:sz="0" w:space="0" w:color="auto"/>
        <w:left w:val="none" w:sz="0" w:space="0" w:color="auto"/>
        <w:bottom w:val="none" w:sz="0" w:space="0" w:color="auto"/>
        <w:right w:val="none" w:sz="0" w:space="0" w:color="auto"/>
      </w:divBdr>
    </w:div>
    <w:div w:id="1461144245">
      <w:bodyDiv w:val="1"/>
      <w:marLeft w:val="0"/>
      <w:marRight w:val="0"/>
      <w:marTop w:val="0"/>
      <w:marBottom w:val="0"/>
      <w:divBdr>
        <w:top w:val="none" w:sz="0" w:space="0" w:color="auto"/>
        <w:left w:val="none" w:sz="0" w:space="0" w:color="auto"/>
        <w:bottom w:val="none" w:sz="0" w:space="0" w:color="auto"/>
        <w:right w:val="none" w:sz="0" w:space="0" w:color="auto"/>
      </w:divBdr>
    </w:div>
    <w:div w:id="1514614438">
      <w:bodyDiv w:val="1"/>
      <w:marLeft w:val="0"/>
      <w:marRight w:val="0"/>
      <w:marTop w:val="0"/>
      <w:marBottom w:val="0"/>
      <w:divBdr>
        <w:top w:val="none" w:sz="0" w:space="0" w:color="auto"/>
        <w:left w:val="none" w:sz="0" w:space="0" w:color="auto"/>
        <w:bottom w:val="none" w:sz="0" w:space="0" w:color="auto"/>
        <w:right w:val="none" w:sz="0" w:space="0" w:color="auto"/>
      </w:divBdr>
    </w:div>
    <w:div w:id="1533229377">
      <w:bodyDiv w:val="1"/>
      <w:marLeft w:val="0"/>
      <w:marRight w:val="0"/>
      <w:marTop w:val="0"/>
      <w:marBottom w:val="0"/>
      <w:divBdr>
        <w:top w:val="none" w:sz="0" w:space="0" w:color="auto"/>
        <w:left w:val="none" w:sz="0" w:space="0" w:color="auto"/>
        <w:bottom w:val="none" w:sz="0" w:space="0" w:color="auto"/>
        <w:right w:val="none" w:sz="0" w:space="0" w:color="auto"/>
      </w:divBdr>
    </w:div>
    <w:div w:id="1540363613">
      <w:bodyDiv w:val="1"/>
      <w:marLeft w:val="0"/>
      <w:marRight w:val="0"/>
      <w:marTop w:val="0"/>
      <w:marBottom w:val="0"/>
      <w:divBdr>
        <w:top w:val="none" w:sz="0" w:space="0" w:color="auto"/>
        <w:left w:val="none" w:sz="0" w:space="0" w:color="auto"/>
        <w:bottom w:val="none" w:sz="0" w:space="0" w:color="auto"/>
        <w:right w:val="none" w:sz="0" w:space="0" w:color="auto"/>
      </w:divBdr>
    </w:div>
    <w:div w:id="1564828912">
      <w:bodyDiv w:val="1"/>
      <w:marLeft w:val="0"/>
      <w:marRight w:val="0"/>
      <w:marTop w:val="0"/>
      <w:marBottom w:val="0"/>
      <w:divBdr>
        <w:top w:val="none" w:sz="0" w:space="0" w:color="auto"/>
        <w:left w:val="none" w:sz="0" w:space="0" w:color="auto"/>
        <w:bottom w:val="none" w:sz="0" w:space="0" w:color="auto"/>
        <w:right w:val="none" w:sz="0" w:space="0" w:color="auto"/>
      </w:divBdr>
      <w:divsChild>
        <w:div w:id="1867675676">
          <w:marLeft w:val="0"/>
          <w:marRight w:val="0"/>
          <w:marTop w:val="0"/>
          <w:marBottom w:val="0"/>
          <w:divBdr>
            <w:top w:val="none" w:sz="0" w:space="0" w:color="auto"/>
            <w:left w:val="none" w:sz="0" w:space="0" w:color="auto"/>
            <w:bottom w:val="none" w:sz="0" w:space="0" w:color="auto"/>
            <w:right w:val="none" w:sz="0" w:space="0" w:color="auto"/>
          </w:divBdr>
        </w:div>
        <w:div w:id="2042390541">
          <w:marLeft w:val="0"/>
          <w:marRight w:val="0"/>
          <w:marTop w:val="0"/>
          <w:marBottom w:val="0"/>
          <w:divBdr>
            <w:top w:val="none" w:sz="0" w:space="0" w:color="auto"/>
            <w:left w:val="none" w:sz="0" w:space="0" w:color="auto"/>
            <w:bottom w:val="none" w:sz="0" w:space="0" w:color="auto"/>
            <w:right w:val="none" w:sz="0" w:space="0" w:color="auto"/>
          </w:divBdr>
        </w:div>
      </w:divsChild>
    </w:div>
    <w:div w:id="1583369712">
      <w:bodyDiv w:val="1"/>
      <w:marLeft w:val="0"/>
      <w:marRight w:val="0"/>
      <w:marTop w:val="0"/>
      <w:marBottom w:val="0"/>
      <w:divBdr>
        <w:top w:val="none" w:sz="0" w:space="0" w:color="auto"/>
        <w:left w:val="none" w:sz="0" w:space="0" w:color="auto"/>
        <w:bottom w:val="none" w:sz="0" w:space="0" w:color="auto"/>
        <w:right w:val="none" w:sz="0" w:space="0" w:color="auto"/>
      </w:divBdr>
    </w:div>
    <w:div w:id="1603301223">
      <w:bodyDiv w:val="1"/>
      <w:marLeft w:val="0"/>
      <w:marRight w:val="0"/>
      <w:marTop w:val="0"/>
      <w:marBottom w:val="0"/>
      <w:divBdr>
        <w:top w:val="none" w:sz="0" w:space="0" w:color="auto"/>
        <w:left w:val="none" w:sz="0" w:space="0" w:color="auto"/>
        <w:bottom w:val="none" w:sz="0" w:space="0" w:color="auto"/>
        <w:right w:val="none" w:sz="0" w:space="0" w:color="auto"/>
      </w:divBdr>
    </w:div>
    <w:div w:id="1606689061">
      <w:bodyDiv w:val="1"/>
      <w:marLeft w:val="0"/>
      <w:marRight w:val="0"/>
      <w:marTop w:val="0"/>
      <w:marBottom w:val="0"/>
      <w:divBdr>
        <w:top w:val="none" w:sz="0" w:space="0" w:color="auto"/>
        <w:left w:val="none" w:sz="0" w:space="0" w:color="auto"/>
        <w:bottom w:val="none" w:sz="0" w:space="0" w:color="auto"/>
        <w:right w:val="none" w:sz="0" w:space="0" w:color="auto"/>
      </w:divBdr>
      <w:divsChild>
        <w:div w:id="486173174">
          <w:marLeft w:val="0"/>
          <w:marRight w:val="0"/>
          <w:marTop w:val="0"/>
          <w:marBottom w:val="0"/>
          <w:divBdr>
            <w:top w:val="none" w:sz="0" w:space="0" w:color="auto"/>
            <w:left w:val="none" w:sz="0" w:space="0" w:color="auto"/>
            <w:bottom w:val="none" w:sz="0" w:space="0" w:color="auto"/>
            <w:right w:val="none" w:sz="0" w:space="0" w:color="auto"/>
          </w:divBdr>
        </w:div>
        <w:div w:id="549734012">
          <w:marLeft w:val="0"/>
          <w:marRight w:val="0"/>
          <w:marTop w:val="0"/>
          <w:marBottom w:val="0"/>
          <w:divBdr>
            <w:top w:val="none" w:sz="0" w:space="0" w:color="auto"/>
            <w:left w:val="none" w:sz="0" w:space="0" w:color="auto"/>
            <w:bottom w:val="none" w:sz="0" w:space="0" w:color="auto"/>
            <w:right w:val="none" w:sz="0" w:space="0" w:color="auto"/>
          </w:divBdr>
        </w:div>
        <w:div w:id="549923822">
          <w:marLeft w:val="0"/>
          <w:marRight w:val="0"/>
          <w:marTop w:val="0"/>
          <w:marBottom w:val="0"/>
          <w:divBdr>
            <w:top w:val="none" w:sz="0" w:space="0" w:color="auto"/>
            <w:left w:val="none" w:sz="0" w:space="0" w:color="auto"/>
            <w:bottom w:val="none" w:sz="0" w:space="0" w:color="auto"/>
            <w:right w:val="none" w:sz="0" w:space="0" w:color="auto"/>
          </w:divBdr>
        </w:div>
        <w:div w:id="1415322162">
          <w:marLeft w:val="0"/>
          <w:marRight w:val="0"/>
          <w:marTop w:val="0"/>
          <w:marBottom w:val="0"/>
          <w:divBdr>
            <w:top w:val="none" w:sz="0" w:space="0" w:color="auto"/>
            <w:left w:val="none" w:sz="0" w:space="0" w:color="auto"/>
            <w:bottom w:val="none" w:sz="0" w:space="0" w:color="auto"/>
            <w:right w:val="none" w:sz="0" w:space="0" w:color="auto"/>
          </w:divBdr>
        </w:div>
        <w:div w:id="2008287938">
          <w:marLeft w:val="0"/>
          <w:marRight w:val="0"/>
          <w:marTop w:val="0"/>
          <w:marBottom w:val="0"/>
          <w:divBdr>
            <w:top w:val="none" w:sz="0" w:space="0" w:color="auto"/>
            <w:left w:val="none" w:sz="0" w:space="0" w:color="auto"/>
            <w:bottom w:val="none" w:sz="0" w:space="0" w:color="auto"/>
            <w:right w:val="none" w:sz="0" w:space="0" w:color="auto"/>
          </w:divBdr>
        </w:div>
        <w:div w:id="797378641">
          <w:marLeft w:val="0"/>
          <w:marRight w:val="0"/>
          <w:marTop w:val="0"/>
          <w:marBottom w:val="0"/>
          <w:divBdr>
            <w:top w:val="none" w:sz="0" w:space="0" w:color="auto"/>
            <w:left w:val="none" w:sz="0" w:space="0" w:color="auto"/>
            <w:bottom w:val="none" w:sz="0" w:space="0" w:color="auto"/>
            <w:right w:val="none" w:sz="0" w:space="0" w:color="auto"/>
          </w:divBdr>
        </w:div>
        <w:div w:id="685252178">
          <w:marLeft w:val="0"/>
          <w:marRight w:val="0"/>
          <w:marTop w:val="0"/>
          <w:marBottom w:val="0"/>
          <w:divBdr>
            <w:top w:val="none" w:sz="0" w:space="0" w:color="auto"/>
            <w:left w:val="none" w:sz="0" w:space="0" w:color="auto"/>
            <w:bottom w:val="none" w:sz="0" w:space="0" w:color="auto"/>
            <w:right w:val="none" w:sz="0" w:space="0" w:color="auto"/>
          </w:divBdr>
        </w:div>
        <w:div w:id="1007102193">
          <w:marLeft w:val="0"/>
          <w:marRight w:val="0"/>
          <w:marTop w:val="0"/>
          <w:marBottom w:val="0"/>
          <w:divBdr>
            <w:top w:val="none" w:sz="0" w:space="0" w:color="auto"/>
            <w:left w:val="none" w:sz="0" w:space="0" w:color="auto"/>
            <w:bottom w:val="none" w:sz="0" w:space="0" w:color="auto"/>
            <w:right w:val="none" w:sz="0" w:space="0" w:color="auto"/>
          </w:divBdr>
        </w:div>
        <w:div w:id="1204097504">
          <w:marLeft w:val="0"/>
          <w:marRight w:val="0"/>
          <w:marTop w:val="0"/>
          <w:marBottom w:val="0"/>
          <w:divBdr>
            <w:top w:val="none" w:sz="0" w:space="0" w:color="auto"/>
            <w:left w:val="none" w:sz="0" w:space="0" w:color="auto"/>
            <w:bottom w:val="none" w:sz="0" w:space="0" w:color="auto"/>
            <w:right w:val="none" w:sz="0" w:space="0" w:color="auto"/>
          </w:divBdr>
        </w:div>
        <w:div w:id="1140070403">
          <w:marLeft w:val="0"/>
          <w:marRight w:val="0"/>
          <w:marTop w:val="0"/>
          <w:marBottom w:val="0"/>
          <w:divBdr>
            <w:top w:val="none" w:sz="0" w:space="0" w:color="auto"/>
            <w:left w:val="none" w:sz="0" w:space="0" w:color="auto"/>
            <w:bottom w:val="none" w:sz="0" w:space="0" w:color="auto"/>
            <w:right w:val="none" w:sz="0" w:space="0" w:color="auto"/>
          </w:divBdr>
        </w:div>
        <w:div w:id="1144471682">
          <w:marLeft w:val="0"/>
          <w:marRight w:val="0"/>
          <w:marTop w:val="0"/>
          <w:marBottom w:val="0"/>
          <w:divBdr>
            <w:top w:val="none" w:sz="0" w:space="0" w:color="auto"/>
            <w:left w:val="none" w:sz="0" w:space="0" w:color="auto"/>
            <w:bottom w:val="none" w:sz="0" w:space="0" w:color="auto"/>
            <w:right w:val="none" w:sz="0" w:space="0" w:color="auto"/>
          </w:divBdr>
        </w:div>
        <w:div w:id="1745106673">
          <w:marLeft w:val="0"/>
          <w:marRight w:val="0"/>
          <w:marTop w:val="0"/>
          <w:marBottom w:val="0"/>
          <w:divBdr>
            <w:top w:val="none" w:sz="0" w:space="0" w:color="auto"/>
            <w:left w:val="none" w:sz="0" w:space="0" w:color="auto"/>
            <w:bottom w:val="none" w:sz="0" w:space="0" w:color="auto"/>
            <w:right w:val="none" w:sz="0" w:space="0" w:color="auto"/>
          </w:divBdr>
        </w:div>
      </w:divsChild>
    </w:div>
    <w:div w:id="1612665687">
      <w:bodyDiv w:val="1"/>
      <w:marLeft w:val="0"/>
      <w:marRight w:val="0"/>
      <w:marTop w:val="0"/>
      <w:marBottom w:val="0"/>
      <w:divBdr>
        <w:top w:val="none" w:sz="0" w:space="0" w:color="auto"/>
        <w:left w:val="none" w:sz="0" w:space="0" w:color="auto"/>
        <w:bottom w:val="none" w:sz="0" w:space="0" w:color="auto"/>
        <w:right w:val="none" w:sz="0" w:space="0" w:color="auto"/>
      </w:divBdr>
    </w:div>
    <w:div w:id="1643341167">
      <w:bodyDiv w:val="1"/>
      <w:marLeft w:val="0"/>
      <w:marRight w:val="0"/>
      <w:marTop w:val="0"/>
      <w:marBottom w:val="0"/>
      <w:divBdr>
        <w:top w:val="none" w:sz="0" w:space="0" w:color="auto"/>
        <w:left w:val="none" w:sz="0" w:space="0" w:color="auto"/>
        <w:bottom w:val="none" w:sz="0" w:space="0" w:color="auto"/>
        <w:right w:val="none" w:sz="0" w:space="0" w:color="auto"/>
      </w:divBdr>
    </w:div>
    <w:div w:id="1658486692">
      <w:bodyDiv w:val="1"/>
      <w:marLeft w:val="0"/>
      <w:marRight w:val="0"/>
      <w:marTop w:val="0"/>
      <w:marBottom w:val="0"/>
      <w:divBdr>
        <w:top w:val="none" w:sz="0" w:space="0" w:color="auto"/>
        <w:left w:val="none" w:sz="0" w:space="0" w:color="auto"/>
        <w:bottom w:val="none" w:sz="0" w:space="0" w:color="auto"/>
        <w:right w:val="none" w:sz="0" w:space="0" w:color="auto"/>
      </w:divBdr>
    </w:div>
    <w:div w:id="1678078227">
      <w:bodyDiv w:val="1"/>
      <w:marLeft w:val="0"/>
      <w:marRight w:val="0"/>
      <w:marTop w:val="0"/>
      <w:marBottom w:val="0"/>
      <w:divBdr>
        <w:top w:val="none" w:sz="0" w:space="0" w:color="auto"/>
        <w:left w:val="none" w:sz="0" w:space="0" w:color="auto"/>
        <w:bottom w:val="none" w:sz="0" w:space="0" w:color="auto"/>
        <w:right w:val="none" w:sz="0" w:space="0" w:color="auto"/>
      </w:divBdr>
    </w:div>
    <w:div w:id="1682051501">
      <w:bodyDiv w:val="1"/>
      <w:marLeft w:val="0"/>
      <w:marRight w:val="0"/>
      <w:marTop w:val="0"/>
      <w:marBottom w:val="0"/>
      <w:divBdr>
        <w:top w:val="none" w:sz="0" w:space="0" w:color="auto"/>
        <w:left w:val="none" w:sz="0" w:space="0" w:color="auto"/>
        <w:bottom w:val="none" w:sz="0" w:space="0" w:color="auto"/>
        <w:right w:val="none" w:sz="0" w:space="0" w:color="auto"/>
      </w:divBdr>
    </w:div>
    <w:div w:id="1767378941">
      <w:bodyDiv w:val="1"/>
      <w:marLeft w:val="0"/>
      <w:marRight w:val="0"/>
      <w:marTop w:val="0"/>
      <w:marBottom w:val="0"/>
      <w:divBdr>
        <w:top w:val="none" w:sz="0" w:space="0" w:color="auto"/>
        <w:left w:val="none" w:sz="0" w:space="0" w:color="auto"/>
        <w:bottom w:val="none" w:sz="0" w:space="0" w:color="auto"/>
        <w:right w:val="none" w:sz="0" w:space="0" w:color="auto"/>
      </w:divBdr>
    </w:div>
    <w:div w:id="1778132674">
      <w:bodyDiv w:val="1"/>
      <w:marLeft w:val="0"/>
      <w:marRight w:val="0"/>
      <w:marTop w:val="0"/>
      <w:marBottom w:val="0"/>
      <w:divBdr>
        <w:top w:val="none" w:sz="0" w:space="0" w:color="auto"/>
        <w:left w:val="none" w:sz="0" w:space="0" w:color="auto"/>
        <w:bottom w:val="none" w:sz="0" w:space="0" w:color="auto"/>
        <w:right w:val="none" w:sz="0" w:space="0" w:color="auto"/>
      </w:divBdr>
    </w:div>
    <w:div w:id="1806121028">
      <w:bodyDiv w:val="1"/>
      <w:marLeft w:val="0"/>
      <w:marRight w:val="0"/>
      <w:marTop w:val="0"/>
      <w:marBottom w:val="0"/>
      <w:divBdr>
        <w:top w:val="none" w:sz="0" w:space="0" w:color="auto"/>
        <w:left w:val="none" w:sz="0" w:space="0" w:color="auto"/>
        <w:bottom w:val="none" w:sz="0" w:space="0" w:color="auto"/>
        <w:right w:val="none" w:sz="0" w:space="0" w:color="auto"/>
      </w:divBdr>
    </w:div>
    <w:div w:id="1810394306">
      <w:bodyDiv w:val="1"/>
      <w:marLeft w:val="0"/>
      <w:marRight w:val="0"/>
      <w:marTop w:val="0"/>
      <w:marBottom w:val="0"/>
      <w:divBdr>
        <w:top w:val="none" w:sz="0" w:space="0" w:color="auto"/>
        <w:left w:val="none" w:sz="0" w:space="0" w:color="auto"/>
        <w:bottom w:val="none" w:sz="0" w:space="0" w:color="auto"/>
        <w:right w:val="none" w:sz="0" w:space="0" w:color="auto"/>
      </w:divBdr>
    </w:div>
    <w:div w:id="1813402351">
      <w:bodyDiv w:val="1"/>
      <w:marLeft w:val="0"/>
      <w:marRight w:val="0"/>
      <w:marTop w:val="0"/>
      <w:marBottom w:val="0"/>
      <w:divBdr>
        <w:top w:val="none" w:sz="0" w:space="0" w:color="auto"/>
        <w:left w:val="none" w:sz="0" w:space="0" w:color="auto"/>
        <w:bottom w:val="none" w:sz="0" w:space="0" w:color="auto"/>
        <w:right w:val="none" w:sz="0" w:space="0" w:color="auto"/>
      </w:divBdr>
    </w:div>
    <w:div w:id="1814061209">
      <w:bodyDiv w:val="1"/>
      <w:marLeft w:val="0"/>
      <w:marRight w:val="0"/>
      <w:marTop w:val="0"/>
      <w:marBottom w:val="0"/>
      <w:divBdr>
        <w:top w:val="none" w:sz="0" w:space="0" w:color="auto"/>
        <w:left w:val="none" w:sz="0" w:space="0" w:color="auto"/>
        <w:bottom w:val="none" w:sz="0" w:space="0" w:color="auto"/>
        <w:right w:val="none" w:sz="0" w:space="0" w:color="auto"/>
      </w:divBdr>
    </w:div>
    <w:div w:id="1826236970">
      <w:bodyDiv w:val="1"/>
      <w:marLeft w:val="0"/>
      <w:marRight w:val="0"/>
      <w:marTop w:val="0"/>
      <w:marBottom w:val="0"/>
      <w:divBdr>
        <w:top w:val="none" w:sz="0" w:space="0" w:color="auto"/>
        <w:left w:val="none" w:sz="0" w:space="0" w:color="auto"/>
        <w:bottom w:val="none" w:sz="0" w:space="0" w:color="auto"/>
        <w:right w:val="none" w:sz="0" w:space="0" w:color="auto"/>
      </w:divBdr>
    </w:div>
    <w:div w:id="1840346622">
      <w:bodyDiv w:val="1"/>
      <w:marLeft w:val="0"/>
      <w:marRight w:val="0"/>
      <w:marTop w:val="0"/>
      <w:marBottom w:val="0"/>
      <w:divBdr>
        <w:top w:val="none" w:sz="0" w:space="0" w:color="auto"/>
        <w:left w:val="none" w:sz="0" w:space="0" w:color="auto"/>
        <w:bottom w:val="none" w:sz="0" w:space="0" w:color="auto"/>
        <w:right w:val="none" w:sz="0" w:space="0" w:color="auto"/>
      </w:divBdr>
    </w:div>
    <w:div w:id="1844315308">
      <w:bodyDiv w:val="1"/>
      <w:marLeft w:val="0"/>
      <w:marRight w:val="0"/>
      <w:marTop w:val="0"/>
      <w:marBottom w:val="0"/>
      <w:divBdr>
        <w:top w:val="none" w:sz="0" w:space="0" w:color="auto"/>
        <w:left w:val="none" w:sz="0" w:space="0" w:color="auto"/>
        <w:bottom w:val="none" w:sz="0" w:space="0" w:color="auto"/>
        <w:right w:val="none" w:sz="0" w:space="0" w:color="auto"/>
      </w:divBdr>
    </w:div>
    <w:div w:id="1891107106">
      <w:bodyDiv w:val="1"/>
      <w:marLeft w:val="0"/>
      <w:marRight w:val="0"/>
      <w:marTop w:val="0"/>
      <w:marBottom w:val="0"/>
      <w:divBdr>
        <w:top w:val="none" w:sz="0" w:space="0" w:color="auto"/>
        <w:left w:val="none" w:sz="0" w:space="0" w:color="auto"/>
        <w:bottom w:val="none" w:sz="0" w:space="0" w:color="auto"/>
        <w:right w:val="none" w:sz="0" w:space="0" w:color="auto"/>
      </w:divBdr>
    </w:div>
    <w:div w:id="1900285711">
      <w:bodyDiv w:val="1"/>
      <w:marLeft w:val="0"/>
      <w:marRight w:val="0"/>
      <w:marTop w:val="0"/>
      <w:marBottom w:val="0"/>
      <w:divBdr>
        <w:top w:val="none" w:sz="0" w:space="0" w:color="auto"/>
        <w:left w:val="none" w:sz="0" w:space="0" w:color="auto"/>
        <w:bottom w:val="none" w:sz="0" w:space="0" w:color="auto"/>
        <w:right w:val="none" w:sz="0" w:space="0" w:color="auto"/>
      </w:divBdr>
      <w:divsChild>
        <w:div w:id="1561675929">
          <w:marLeft w:val="0"/>
          <w:marRight w:val="0"/>
          <w:marTop w:val="0"/>
          <w:marBottom w:val="0"/>
          <w:divBdr>
            <w:top w:val="none" w:sz="0" w:space="0" w:color="auto"/>
            <w:left w:val="none" w:sz="0" w:space="0" w:color="auto"/>
            <w:bottom w:val="none" w:sz="0" w:space="0" w:color="auto"/>
            <w:right w:val="none" w:sz="0" w:space="0" w:color="auto"/>
          </w:divBdr>
        </w:div>
        <w:div w:id="952982528">
          <w:marLeft w:val="0"/>
          <w:marRight w:val="0"/>
          <w:marTop w:val="0"/>
          <w:marBottom w:val="0"/>
          <w:divBdr>
            <w:top w:val="none" w:sz="0" w:space="0" w:color="auto"/>
            <w:left w:val="none" w:sz="0" w:space="0" w:color="auto"/>
            <w:bottom w:val="none" w:sz="0" w:space="0" w:color="auto"/>
            <w:right w:val="none" w:sz="0" w:space="0" w:color="auto"/>
          </w:divBdr>
        </w:div>
        <w:div w:id="199166861">
          <w:marLeft w:val="0"/>
          <w:marRight w:val="0"/>
          <w:marTop w:val="0"/>
          <w:marBottom w:val="0"/>
          <w:divBdr>
            <w:top w:val="none" w:sz="0" w:space="0" w:color="auto"/>
            <w:left w:val="none" w:sz="0" w:space="0" w:color="auto"/>
            <w:bottom w:val="none" w:sz="0" w:space="0" w:color="auto"/>
            <w:right w:val="none" w:sz="0" w:space="0" w:color="auto"/>
          </w:divBdr>
        </w:div>
        <w:div w:id="957566393">
          <w:marLeft w:val="0"/>
          <w:marRight w:val="0"/>
          <w:marTop w:val="0"/>
          <w:marBottom w:val="0"/>
          <w:divBdr>
            <w:top w:val="none" w:sz="0" w:space="0" w:color="auto"/>
            <w:left w:val="none" w:sz="0" w:space="0" w:color="auto"/>
            <w:bottom w:val="none" w:sz="0" w:space="0" w:color="auto"/>
            <w:right w:val="none" w:sz="0" w:space="0" w:color="auto"/>
          </w:divBdr>
        </w:div>
        <w:div w:id="1260061746">
          <w:marLeft w:val="0"/>
          <w:marRight w:val="0"/>
          <w:marTop w:val="0"/>
          <w:marBottom w:val="0"/>
          <w:divBdr>
            <w:top w:val="none" w:sz="0" w:space="0" w:color="auto"/>
            <w:left w:val="none" w:sz="0" w:space="0" w:color="auto"/>
            <w:bottom w:val="none" w:sz="0" w:space="0" w:color="auto"/>
            <w:right w:val="none" w:sz="0" w:space="0" w:color="auto"/>
          </w:divBdr>
        </w:div>
      </w:divsChild>
    </w:div>
    <w:div w:id="1911385108">
      <w:bodyDiv w:val="1"/>
      <w:marLeft w:val="0"/>
      <w:marRight w:val="0"/>
      <w:marTop w:val="0"/>
      <w:marBottom w:val="0"/>
      <w:divBdr>
        <w:top w:val="none" w:sz="0" w:space="0" w:color="auto"/>
        <w:left w:val="none" w:sz="0" w:space="0" w:color="auto"/>
        <w:bottom w:val="none" w:sz="0" w:space="0" w:color="auto"/>
        <w:right w:val="none" w:sz="0" w:space="0" w:color="auto"/>
      </w:divBdr>
      <w:divsChild>
        <w:div w:id="1365904902">
          <w:marLeft w:val="0"/>
          <w:marRight w:val="0"/>
          <w:marTop w:val="0"/>
          <w:marBottom w:val="0"/>
          <w:divBdr>
            <w:top w:val="none" w:sz="0" w:space="0" w:color="auto"/>
            <w:left w:val="none" w:sz="0" w:space="0" w:color="auto"/>
            <w:bottom w:val="none" w:sz="0" w:space="0" w:color="auto"/>
            <w:right w:val="none" w:sz="0" w:space="0" w:color="auto"/>
          </w:divBdr>
        </w:div>
        <w:div w:id="2143648885">
          <w:marLeft w:val="0"/>
          <w:marRight w:val="0"/>
          <w:marTop w:val="0"/>
          <w:marBottom w:val="0"/>
          <w:divBdr>
            <w:top w:val="none" w:sz="0" w:space="0" w:color="auto"/>
            <w:left w:val="none" w:sz="0" w:space="0" w:color="auto"/>
            <w:bottom w:val="none" w:sz="0" w:space="0" w:color="auto"/>
            <w:right w:val="none" w:sz="0" w:space="0" w:color="auto"/>
          </w:divBdr>
        </w:div>
        <w:div w:id="1205412353">
          <w:marLeft w:val="0"/>
          <w:marRight w:val="0"/>
          <w:marTop w:val="0"/>
          <w:marBottom w:val="0"/>
          <w:divBdr>
            <w:top w:val="none" w:sz="0" w:space="0" w:color="auto"/>
            <w:left w:val="none" w:sz="0" w:space="0" w:color="auto"/>
            <w:bottom w:val="none" w:sz="0" w:space="0" w:color="auto"/>
            <w:right w:val="none" w:sz="0" w:space="0" w:color="auto"/>
          </w:divBdr>
        </w:div>
        <w:div w:id="568266411">
          <w:marLeft w:val="0"/>
          <w:marRight w:val="0"/>
          <w:marTop w:val="0"/>
          <w:marBottom w:val="0"/>
          <w:divBdr>
            <w:top w:val="none" w:sz="0" w:space="0" w:color="auto"/>
            <w:left w:val="none" w:sz="0" w:space="0" w:color="auto"/>
            <w:bottom w:val="none" w:sz="0" w:space="0" w:color="auto"/>
            <w:right w:val="none" w:sz="0" w:space="0" w:color="auto"/>
          </w:divBdr>
        </w:div>
        <w:div w:id="811941196">
          <w:marLeft w:val="0"/>
          <w:marRight w:val="0"/>
          <w:marTop w:val="0"/>
          <w:marBottom w:val="0"/>
          <w:divBdr>
            <w:top w:val="none" w:sz="0" w:space="0" w:color="auto"/>
            <w:left w:val="none" w:sz="0" w:space="0" w:color="auto"/>
            <w:bottom w:val="none" w:sz="0" w:space="0" w:color="auto"/>
            <w:right w:val="none" w:sz="0" w:space="0" w:color="auto"/>
          </w:divBdr>
        </w:div>
        <w:div w:id="417480481">
          <w:marLeft w:val="0"/>
          <w:marRight w:val="0"/>
          <w:marTop w:val="0"/>
          <w:marBottom w:val="0"/>
          <w:divBdr>
            <w:top w:val="none" w:sz="0" w:space="0" w:color="auto"/>
            <w:left w:val="none" w:sz="0" w:space="0" w:color="auto"/>
            <w:bottom w:val="none" w:sz="0" w:space="0" w:color="auto"/>
            <w:right w:val="none" w:sz="0" w:space="0" w:color="auto"/>
          </w:divBdr>
        </w:div>
      </w:divsChild>
    </w:div>
    <w:div w:id="1920170452">
      <w:bodyDiv w:val="1"/>
      <w:marLeft w:val="0"/>
      <w:marRight w:val="0"/>
      <w:marTop w:val="0"/>
      <w:marBottom w:val="0"/>
      <w:divBdr>
        <w:top w:val="none" w:sz="0" w:space="0" w:color="auto"/>
        <w:left w:val="none" w:sz="0" w:space="0" w:color="auto"/>
        <w:bottom w:val="none" w:sz="0" w:space="0" w:color="auto"/>
        <w:right w:val="none" w:sz="0" w:space="0" w:color="auto"/>
      </w:divBdr>
      <w:divsChild>
        <w:div w:id="680549134">
          <w:marLeft w:val="0"/>
          <w:marRight w:val="0"/>
          <w:marTop w:val="0"/>
          <w:marBottom w:val="0"/>
          <w:divBdr>
            <w:top w:val="none" w:sz="0" w:space="0" w:color="auto"/>
            <w:left w:val="none" w:sz="0" w:space="0" w:color="auto"/>
            <w:bottom w:val="none" w:sz="0" w:space="0" w:color="auto"/>
            <w:right w:val="none" w:sz="0" w:space="0" w:color="auto"/>
          </w:divBdr>
        </w:div>
        <w:div w:id="1423801466">
          <w:marLeft w:val="0"/>
          <w:marRight w:val="0"/>
          <w:marTop w:val="0"/>
          <w:marBottom w:val="0"/>
          <w:divBdr>
            <w:top w:val="none" w:sz="0" w:space="0" w:color="auto"/>
            <w:left w:val="none" w:sz="0" w:space="0" w:color="auto"/>
            <w:bottom w:val="none" w:sz="0" w:space="0" w:color="auto"/>
            <w:right w:val="none" w:sz="0" w:space="0" w:color="auto"/>
          </w:divBdr>
        </w:div>
      </w:divsChild>
    </w:div>
    <w:div w:id="1931893476">
      <w:bodyDiv w:val="1"/>
      <w:marLeft w:val="0"/>
      <w:marRight w:val="0"/>
      <w:marTop w:val="0"/>
      <w:marBottom w:val="0"/>
      <w:divBdr>
        <w:top w:val="none" w:sz="0" w:space="0" w:color="auto"/>
        <w:left w:val="none" w:sz="0" w:space="0" w:color="auto"/>
        <w:bottom w:val="none" w:sz="0" w:space="0" w:color="auto"/>
        <w:right w:val="none" w:sz="0" w:space="0" w:color="auto"/>
      </w:divBdr>
    </w:div>
    <w:div w:id="1932080394">
      <w:bodyDiv w:val="1"/>
      <w:marLeft w:val="0"/>
      <w:marRight w:val="0"/>
      <w:marTop w:val="0"/>
      <w:marBottom w:val="0"/>
      <w:divBdr>
        <w:top w:val="none" w:sz="0" w:space="0" w:color="auto"/>
        <w:left w:val="none" w:sz="0" w:space="0" w:color="auto"/>
        <w:bottom w:val="none" w:sz="0" w:space="0" w:color="auto"/>
        <w:right w:val="none" w:sz="0" w:space="0" w:color="auto"/>
      </w:divBdr>
    </w:div>
    <w:div w:id="1937521491">
      <w:bodyDiv w:val="1"/>
      <w:marLeft w:val="0"/>
      <w:marRight w:val="0"/>
      <w:marTop w:val="0"/>
      <w:marBottom w:val="0"/>
      <w:divBdr>
        <w:top w:val="none" w:sz="0" w:space="0" w:color="auto"/>
        <w:left w:val="none" w:sz="0" w:space="0" w:color="auto"/>
        <w:bottom w:val="none" w:sz="0" w:space="0" w:color="auto"/>
        <w:right w:val="none" w:sz="0" w:space="0" w:color="auto"/>
      </w:divBdr>
    </w:div>
    <w:div w:id="1969897173">
      <w:bodyDiv w:val="1"/>
      <w:marLeft w:val="0"/>
      <w:marRight w:val="0"/>
      <w:marTop w:val="0"/>
      <w:marBottom w:val="0"/>
      <w:divBdr>
        <w:top w:val="none" w:sz="0" w:space="0" w:color="auto"/>
        <w:left w:val="none" w:sz="0" w:space="0" w:color="auto"/>
        <w:bottom w:val="none" w:sz="0" w:space="0" w:color="auto"/>
        <w:right w:val="none" w:sz="0" w:space="0" w:color="auto"/>
      </w:divBdr>
    </w:div>
    <w:div w:id="2012945162">
      <w:bodyDiv w:val="1"/>
      <w:marLeft w:val="0"/>
      <w:marRight w:val="0"/>
      <w:marTop w:val="0"/>
      <w:marBottom w:val="0"/>
      <w:divBdr>
        <w:top w:val="none" w:sz="0" w:space="0" w:color="auto"/>
        <w:left w:val="none" w:sz="0" w:space="0" w:color="auto"/>
        <w:bottom w:val="none" w:sz="0" w:space="0" w:color="auto"/>
        <w:right w:val="none" w:sz="0" w:space="0" w:color="auto"/>
      </w:divBdr>
    </w:div>
    <w:div w:id="2015648265">
      <w:bodyDiv w:val="1"/>
      <w:marLeft w:val="0"/>
      <w:marRight w:val="0"/>
      <w:marTop w:val="0"/>
      <w:marBottom w:val="0"/>
      <w:divBdr>
        <w:top w:val="none" w:sz="0" w:space="0" w:color="auto"/>
        <w:left w:val="none" w:sz="0" w:space="0" w:color="auto"/>
        <w:bottom w:val="none" w:sz="0" w:space="0" w:color="auto"/>
        <w:right w:val="none" w:sz="0" w:space="0" w:color="auto"/>
      </w:divBdr>
    </w:div>
    <w:div w:id="2020962143">
      <w:bodyDiv w:val="1"/>
      <w:marLeft w:val="0"/>
      <w:marRight w:val="0"/>
      <w:marTop w:val="0"/>
      <w:marBottom w:val="0"/>
      <w:divBdr>
        <w:top w:val="none" w:sz="0" w:space="0" w:color="auto"/>
        <w:left w:val="none" w:sz="0" w:space="0" w:color="auto"/>
        <w:bottom w:val="none" w:sz="0" w:space="0" w:color="auto"/>
        <w:right w:val="none" w:sz="0" w:space="0" w:color="auto"/>
      </w:divBdr>
      <w:divsChild>
        <w:div w:id="798381390">
          <w:marLeft w:val="360"/>
          <w:marRight w:val="0"/>
          <w:marTop w:val="200"/>
          <w:marBottom w:val="0"/>
          <w:divBdr>
            <w:top w:val="none" w:sz="0" w:space="0" w:color="auto"/>
            <w:left w:val="none" w:sz="0" w:space="0" w:color="auto"/>
            <w:bottom w:val="none" w:sz="0" w:space="0" w:color="auto"/>
            <w:right w:val="none" w:sz="0" w:space="0" w:color="auto"/>
          </w:divBdr>
        </w:div>
        <w:div w:id="25453406">
          <w:marLeft w:val="360"/>
          <w:marRight w:val="0"/>
          <w:marTop w:val="200"/>
          <w:marBottom w:val="0"/>
          <w:divBdr>
            <w:top w:val="none" w:sz="0" w:space="0" w:color="auto"/>
            <w:left w:val="none" w:sz="0" w:space="0" w:color="auto"/>
            <w:bottom w:val="none" w:sz="0" w:space="0" w:color="auto"/>
            <w:right w:val="none" w:sz="0" w:space="0" w:color="auto"/>
          </w:divBdr>
        </w:div>
        <w:div w:id="1183979725">
          <w:marLeft w:val="360"/>
          <w:marRight w:val="0"/>
          <w:marTop w:val="200"/>
          <w:marBottom w:val="0"/>
          <w:divBdr>
            <w:top w:val="none" w:sz="0" w:space="0" w:color="auto"/>
            <w:left w:val="none" w:sz="0" w:space="0" w:color="auto"/>
            <w:bottom w:val="none" w:sz="0" w:space="0" w:color="auto"/>
            <w:right w:val="none" w:sz="0" w:space="0" w:color="auto"/>
          </w:divBdr>
        </w:div>
        <w:div w:id="246546765">
          <w:marLeft w:val="360"/>
          <w:marRight w:val="0"/>
          <w:marTop w:val="200"/>
          <w:marBottom w:val="0"/>
          <w:divBdr>
            <w:top w:val="none" w:sz="0" w:space="0" w:color="auto"/>
            <w:left w:val="none" w:sz="0" w:space="0" w:color="auto"/>
            <w:bottom w:val="none" w:sz="0" w:space="0" w:color="auto"/>
            <w:right w:val="none" w:sz="0" w:space="0" w:color="auto"/>
          </w:divBdr>
        </w:div>
      </w:divsChild>
    </w:div>
    <w:div w:id="2047749193">
      <w:bodyDiv w:val="1"/>
      <w:marLeft w:val="0"/>
      <w:marRight w:val="0"/>
      <w:marTop w:val="0"/>
      <w:marBottom w:val="0"/>
      <w:divBdr>
        <w:top w:val="none" w:sz="0" w:space="0" w:color="auto"/>
        <w:left w:val="none" w:sz="0" w:space="0" w:color="auto"/>
        <w:bottom w:val="none" w:sz="0" w:space="0" w:color="auto"/>
        <w:right w:val="none" w:sz="0" w:space="0" w:color="auto"/>
      </w:divBdr>
    </w:div>
    <w:div w:id="2055539865">
      <w:bodyDiv w:val="1"/>
      <w:marLeft w:val="0"/>
      <w:marRight w:val="0"/>
      <w:marTop w:val="0"/>
      <w:marBottom w:val="0"/>
      <w:divBdr>
        <w:top w:val="none" w:sz="0" w:space="0" w:color="auto"/>
        <w:left w:val="none" w:sz="0" w:space="0" w:color="auto"/>
        <w:bottom w:val="none" w:sz="0" w:space="0" w:color="auto"/>
        <w:right w:val="none" w:sz="0" w:space="0" w:color="auto"/>
      </w:divBdr>
    </w:div>
    <w:div w:id="2062122524">
      <w:bodyDiv w:val="1"/>
      <w:marLeft w:val="0"/>
      <w:marRight w:val="0"/>
      <w:marTop w:val="0"/>
      <w:marBottom w:val="0"/>
      <w:divBdr>
        <w:top w:val="none" w:sz="0" w:space="0" w:color="auto"/>
        <w:left w:val="none" w:sz="0" w:space="0" w:color="auto"/>
        <w:bottom w:val="none" w:sz="0" w:space="0" w:color="auto"/>
        <w:right w:val="none" w:sz="0" w:space="0" w:color="auto"/>
      </w:divBdr>
    </w:div>
    <w:div w:id="2074811361">
      <w:bodyDiv w:val="1"/>
      <w:marLeft w:val="0"/>
      <w:marRight w:val="0"/>
      <w:marTop w:val="0"/>
      <w:marBottom w:val="0"/>
      <w:divBdr>
        <w:top w:val="none" w:sz="0" w:space="0" w:color="auto"/>
        <w:left w:val="none" w:sz="0" w:space="0" w:color="auto"/>
        <w:bottom w:val="none" w:sz="0" w:space="0" w:color="auto"/>
        <w:right w:val="none" w:sz="0" w:space="0" w:color="auto"/>
      </w:divBdr>
    </w:div>
    <w:div w:id="2083865387">
      <w:bodyDiv w:val="1"/>
      <w:marLeft w:val="0"/>
      <w:marRight w:val="0"/>
      <w:marTop w:val="0"/>
      <w:marBottom w:val="0"/>
      <w:divBdr>
        <w:top w:val="none" w:sz="0" w:space="0" w:color="auto"/>
        <w:left w:val="none" w:sz="0" w:space="0" w:color="auto"/>
        <w:bottom w:val="none" w:sz="0" w:space="0" w:color="auto"/>
        <w:right w:val="none" w:sz="0" w:space="0" w:color="auto"/>
      </w:divBdr>
    </w:div>
    <w:div w:id="2088377077">
      <w:bodyDiv w:val="1"/>
      <w:marLeft w:val="0"/>
      <w:marRight w:val="0"/>
      <w:marTop w:val="0"/>
      <w:marBottom w:val="0"/>
      <w:divBdr>
        <w:top w:val="none" w:sz="0" w:space="0" w:color="auto"/>
        <w:left w:val="none" w:sz="0" w:space="0" w:color="auto"/>
        <w:bottom w:val="none" w:sz="0" w:space="0" w:color="auto"/>
        <w:right w:val="none" w:sz="0" w:space="0" w:color="auto"/>
      </w:divBdr>
    </w:div>
    <w:div w:id="2089110743">
      <w:bodyDiv w:val="1"/>
      <w:marLeft w:val="0"/>
      <w:marRight w:val="0"/>
      <w:marTop w:val="0"/>
      <w:marBottom w:val="0"/>
      <w:divBdr>
        <w:top w:val="none" w:sz="0" w:space="0" w:color="auto"/>
        <w:left w:val="none" w:sz="0" w:space="0" w:color="auto"/>
        <w:bottom w:val="none" w:sz="0" w:space="0" w:color="auto"/>
        <w:right w:val="none" w:sz="0" w:space="0" w:color="auto"/>
      </w:divBdr>
      <w:divsChild>
        <w:div w:id="317272848">
          <w:marLeft w:val="0"/>
          <w:marRight w:val="0"/>
          <w:marTop w:val="0"/>
          <w:marBottom w:val="0"/>
          <w:divBdr>
            <w:top w:val="none" w:sz="0" w:space="0" w:color="auto"/>
            <w:left w:val="none" w:sz="0" w:space="0" w:color="auto"/>
            <w:bottom w:val="none" w:sz="0" w:space="0" w:color="auto"/>
            <w:right w:val="none" w:sz="0" w:space="0" w:color="auto"/>
          </w:divBdr>
        </w:div>
        <w:div w:id="2062165431">
          <w:marLeft w:val="0"/>
          <w:marRight w:val="0"/>
          <w:marTop w:val="0"/>
          <w:marBottom w:val="0"/>
          <w:divBdr>
            <w:top w:val="none" w:sz="0" w:space="0" w:color="auto"/>
            <w:left w:val="none" w:sz="0" w:space="0" w:color="auto"/>
            <w:bottom w:val="none" w:sz="0" w:space="0" w:color="auto"/>
            <w:right w:val="none" w:sz="0" w:space="0" w:color="auto"/>
          </w:divBdr>
        </w:div>
        <w:div w:id="2104572312">
          <w:marLeft w:val="0"/>
          <w:marRight w:val="0"/>
          <w:marTop w:val="0"/>
          <w:marBottom w:val="0"/>
          <w:divBdr>
            <w:top w:val="none" w:sz="0" w:space="0" w:color="auto"/>
            <w:left w:val="none" w:sz="0" w:space="0" w:color="auto"/>
            <w:bottom w:val="none" w:sz="0" w:space="0" w:color="auto"/>
            <w:right w:val="none" w:sz="0" w:space="0" w:color="auto"/>
          </w:divBdr>
        </w:div>
        <w:div w:id="464547708">
          <w:marLeft w:val="0"/>
          <w:marRight w:val="0"/>
          <w:marTop w:val="0"/>
          <w:marBottom w:val="0"/>
          <w:divBdr>
            <w:top w:val="none" w:sz="0" w:space="0" w:color="auto"/>
            <w:left w:val="none" w:sz="0" w:space="0" w:color="auto"/>
            <w:bottom w:val="none" w:sz="0" w:space="0" w:color="auto"/>
            <w:right w:val="none" w:sz="0" w:space="0" w:color="auto"/>
          </w:divBdr>
        </w:div>
        <w:div w:id="582957624">
          <w:marLeft w:val="0"/>
          <w:marRight w:val="0"/>
          <w:marTop w:val="0"/>
          <w:marBottom w:val="0"/>
          <w:divBdr>
            <w:top w:val="none" w:sz="0" w:space="0" w:color="auto"/>
            <w:left w:val="none" w:sz="0" w:space="0" w:color="auto"/>
            <w:bottom w:val="none" w:sz="0" w:space="0" w:color="auto"/>
            <w:right w:val="none" w:sz="0" w:space="0" w:color="auto"/>
          </w:divBdr>
        </w:div>
        <w:div w:id="66152500">
          <w:marLeft w:val="0"/>
          <w:marRight w:val="0"/>
          <w:marTop w:val="0"/>
          <w:marBottom w:val="0"/>
          <w:divBdr>
            <w:top w:val="none" w:sz="0" w:space="0" w:color="auto"/>
            <w:left w:val="none" w:sz="0" w:space="0" w:color="auto"/>
            <w:bottom w:val="none" w:sz="0" w:space="0" w:color="auto"/>
            <w:right w:val="none" w:sz="0" w:space="0" w:color="auto"/>
          </w:divBdr>
        </w:div>
        <w:div w:id="1226914593">
          <w:marLeft w:val="0"/>
          <w:marRight w:val="0"/>
          <w:marTop w:val="0"/>
          <w:marBottom w:val="0"/>
          <w:divBdr>
            <w:top w:val="none" w:sz="0" w:space="0" w:color="auto"/>
            <w:left w:val="none" w:sz="0" w:space="0" w:color="auto"/>
            <w:bottom w:val="none" w:sz="0" w:space="0" w:color="auto"/>
            <w:right w:val="none" w:sz="0" w:space="0" w:color="auto"/>
          </w:divBdr>
        </w:div>
        <w:div w:id="1734622649">
          <w:marLeft w:val="0"/>
          <w:marRight w:val="0"/>
          <w:marTop w:val="0"/>
          <w:marBottom w:val="0"/>
          <w:divBdr>
            <w:top w:val="none" w:sz="0" w:space="0" w:color="auto"/>
            <w:left w:val="none" w:sz="0" w:space="0" w:color="auto"/>
            <w:bottom w:val="none" w:sz="0" w:space="0" w:color="auto"/>
            <w:right w:val="none" w:sz="0" w:space="0" w:color="auto"/>
          </w:divBdr>
        </w:div>
        <w:div w:id="2055814721">
          <w:marLeft w:val="0"/>
          <w:marRight w:val="0"/>
          <w:marTop w:val="0"/>
          <w:marBottom w:val="0"/>
          <w:divBdr>
            <w:top w:val="none" w:sz="0" w:space="0" w:color="auto"/>
            <w:left w:val="none" w:sz="0" w:space="0" w:color="auto"/>
            <w:bottom w:val="none" w:sz="0" w:space="0" w:color="auto"/>
            <w:right w:val="none" w:sz="0" w:space="0" w:color="auto"/>
          </w:divBdr>
        </w:div>
        <w:div w:id="1879507363">
          <w:marLeft w:val="0"/>
          <w:marRight w:val="0"/>
          <w:marTop w:val="0"/>
          <w:marBottom w:val="0"/>
          <w:divBdr>
            <w:top w:val="none" w:sz="0" w:space="0" w:color="auto"/>
            <w:left w:val="none" w:sz="0" w:space="0" w:color="auto"/>
            <w:bottom w:val="none" w:sz="0" w:space="0" w:color="auto"/>
            <w:right w:val="none" w:sz="0" w:space="0" w:color="auto"/>
          </w:divBdr>
        </w:div>
        <w:div w:id="1327052604">
          <w:marLeft w:val="0"/>
          <w:marRight w:val="0"/>
          <w:marTop w:val="0"/>
          <w:marBottom w:val="0"/>
          <w:divBdr>
            <w:top w:val="none" w:sz="0" w:space="0" w:color="auto"/>
            <w:left w:val="none" w:sz="0" w:space="0" w:color="auto"/>
            <w:bottom w:val="none" w:sz="0" w:space="0" w:color="auto"/>
            <w:right w:val="none" w:sz="0" w:space="0" w:color="auto"/>
          </w:divBdr>
        </w:div>
        <w:div w:id="488788719">
          <w:marLeft w:val="0"/>
          <w:marRight w:val="0"/>
          <w:marTop w:val="0"/>
          <w:marBottom w:val="0"/>
          <w:divBdr>
            <w:top w:val="none" w:sz="0" w:space="0" w:color="auto"/>
            <w:left w:val="none" w:sz="0" w:space="0" w:color="auto"/>
            <w:bottom w:val="none" w:sz="0" w:space="0" w:color="auto"/>
            <w:right w:val="none" w:sz="0" w:space="0" w:color="auto"/>
          </w:divBdr>
        </w:div>
        <w:div w:id="925268060">
          <w:marLeft w:val="0"/>
          <w:marRight w:val="0"/>
          <w:marTop w:val="0"/>
          <w:marBottom w:val="0"/>
          <w:divBdr>
            <w:top w:val="none" w:sz="0" w:space="0" w:color="auto"/>
            <w:left w:val="none" w:sz="0" w:space="0" w:color="auto"/>
            <w:bottom w:val="none" w:sz="0" w:space="0" w:color="auto"/>
            <w:right w:val="none" w:sz="0" w:space="0" w:color="auto"/>
          </w:divBdr>
        </w:div>
        <w:div w:id="346952315">
          <w:marLeft w:val="0"/>
          <w:marRight w:val="0"/>
          <w:marTop w:val="0"/>
          <w:marBottom w:val="0"/>
          <w:divBdr>
            <w:top w:val="none" w:sz="0" w:space="0" w:color="auto"/>
            <w:left w:val="none" w:sz="0" w:space="0" w:color="auto"/>
            <w:bottom w:val="none" w:sz="0" w:space="0" w:color="auto"/>
            <w:right w:val="none" w:sz="0" w:space="0" w:color="auto"/>
          </w:divBdr>
        </w:div>
        <w:div w:id="199782351">
          <w:marLeft w:val="0"/>
          <w:marRight w:val="0"/>
          <w:marTop w:val="0"/>
          <w:marBottom w:val="0"/>
          <w:divBdr>
            <w:top w:val="none" w:sz="0" w:space="0" w:color="auto"/>
            <w:left w:val="none" w:sz="0" w:space="0" w:color="auto"/>
            <w:bottom w:val="none" w:sz="0" w:space="0" w:color="auto"/>
            <w:right w:val="none" w:sz="0" w:space="0" w:color="auto"/>
          </w:divBdr>
        </w:div>
        <w:div w:id="330640716">
          <w:marLeft w:val="0"/>
          <w:marRight w:val="0"/>
          <w:marTop w:val="0"/>
          <w:marBottom w:val="0"/>
          <w:divBdr>
            <w:top w:val="none" w:sz="0" w:space="0" w:color="auto"/>
            <w:left w:val="none" w:sz="0" w:space="0" w:color="auto"/>
            <w:bottom w:val="none" w:sz="0" w:space="0" w:color="auto"/>
            <w:right w:val="none" w:sz="0" w:space="0" w:color="auto"/>
          </w:divBdr>
        </w:div>
        <w:div w:id="1261989899">
          <w:marLeft w:val="0"/>
          <w:marRight w:val="0"/>
          <w:marTop w:val="0"/>
          <w:marBottom w:val="0"/>
          <w:divBdr>
            <w:top w:val="none" w:sz="0" w:space="0" w:color="auto"/>
            <w:left w:val="none" w:sz="0" w:space="0" w:color="auto"/>
            <w:bottom w:val="none" w:sz="0" w:space="0" w:color="auto"/>
            <w:right w:val="none" w:sz="0" w:space="0" w:color="auto"/>
          </w:divBdr>
        </w:div>
      </w:divsChild>
    </w:div>
    <w:div w:id="2099978753">
      <w:bodyDiv w:val="1"/>
      <w:marLeft w:val="0"/>
      <w:marRight w:val="0"/>
      <w:marTop w:val="0"/>
      <w:marBottom w:val="0"/>
      <w:divBdr>
        <w:top w:val="none" w:sz="0" w:space="0" w:color="auto"/>
        <w:left w:val="none" w:sz="0" w:space="0" w:color="auto"/>
        <w:bottom w:val="none" w:sz="0" w:space="0" w:color="auto"/>
        <w:right w:val="none" w:sz="0" w:space="0" w:color="auto"/>
      </w:divBdr>
    </w:div>
    <w:div w:id="2112166737">
      <w:bodyDiv w:val="1"/>
      <w:marLeft w:val="0"/>
      <w:marRight w:val="0"/>
      <w:marTop w:val="0"/>
      <w:marBottom w:val="0"/>
      <w:divBdr>
        <w:top w:val="none" w:sz="0" w:space="0" w:color="auto"/>
        <w:left w:val="none" w:sz="0" w:space="0" w:color="auto"/>
        <w:bottom w:val="none" w:sz="0" w:space="0" w:color="auto"/>
        <w:right w:val="none" w:sz="0" w:space="0" w:color="auto"/>
      </w:divBdr>
    </w:div>
    <w:div w:id="2116751117">
      <w:bodyDiv w:val="1"/>
      <w:marLeft w:val="0"/>
      <w:marRight w:val="0"/>
      <w:marTop w:val="0"/>
      <w:marBottom w:val="0"/>
      <w:divBdr>
        <w:top w:val="none" w:sz="0" w:space="0" w:color="auto"/>
        <w:left w:val="none" w:sz="0" w:space="0" w:color="auto"/>
        <w:bottom w:val="none" w:sz="0" w:space="0" w:color="auto"/>
        <w:right w:val="none" w:sz="0" w:space="0" w:color="auto"/>
      </w:divBdr>
    </w:div>
    <w:div w:id="2117094202">
      <w:bodyDiv w:val="1"/>
      <w:marLeft w:val="0"/>
      <w:marRight w:val="0"/>
      <w:marTop w:val="0"/>
      <w:marBottom w:val="0"/>
      <w:divBdr>
        <w:top w:val="none" w:sz="0" w:space="0" w:color="auto"/>
        <w:left w:val="none" w:sz="0" w:space="0" w:color="auto"/>
        <w:bottom w:val="none" w:sz="0" w:space="0" w:color="auto"/>
        <w:right w:val="none" w:sz="0" w:space="0" w:color="auto"/>
      </w:divBdr>
    </w:div>
    <w:div w:id="211852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mailto:lucia.latino@wfp.org" TargetMode="External"/><Relationship Id="rId14" Type="http://schemas.openxmlformats.org/officeDocument/2006/relationships/image" Target="media/image6.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cia.latino\Documents\FBI\tab_fi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cat>
            <c:strRef>
              <c:f>'SI calculation'!$G$3:$G$14</c:f>
              <c:strCache>
                <c:ptCount val="12"/>
                <c:pt idx="0">
                  <c:v>Jan</c:v>
                </c:pt>
                <c:pt idx="1">
                  <c:v>Feb</c:v>
                </c:pt>
                <c:pt idx="2">
                  <c:v>Mar</c:v>
                </c:pt>
                <c:pt idx="3">
                  <c:v>Apr</c:v>
                </c:pt>
                <c:pt idx="4">
                  <c:v>May</c:v>
                </c:pt>
                <c:pt idx="5">
                  <c:v>Jun</c:v>
                </c:pt>
                <c:pt idx="6">
                  <c:v>Jul</c:v>
                </c:pt>
                <c:pt idx="7">
                  <c:v>Aug</c:v>
                </c:pt>
                <c:pt idx="8">
                  <c:v>Sept </c:v>
                </c:pt>
                <c:pt idx="9">
                  <c:v>Oct</c:v>
                </c:pt>
                <c:pt idx="10">
                  <c:v>Nov</c:v>
                </c:pt>
                <c:pt idx="11">
                  <c:v>Dec</c:v>
                </c:pt>
              </c:strCache>
            </c:strRef>
          </c:cat>
          <c:val>
            <c:numRef>
              <c:f>'SI calculation'!$J$3:$J$14</c:f>
              <c:numCache>
                <c:formatCode>0.000</c:formatCode>
                <c:ptCount val="12"/>
                <c:pt idx="0">
                  <c:v>1.0092179999999999</c:v>
                </c:pt>
                <c:pt idx="1">
                  <c:v>0.99735280000000004</c:v>
                </c:pt>
                <c:pt idx="2">
                  <c:v>0.98638899999999996</c:v>
                </c:pt>
                <c:pt idx="3">
                  <c:v>1.0053939999999999</c:v>
                </c:pt>
                <c:pt idx="4">
                  <c:v>1.0193209999999999</c:v>
                </c:pt>
                <c:pt idx="5">
                  <c:v>0.97448109999999999</c:v>
                </c:pt>
                <c:pt idx="6">
                  <c:v>0.98908680000000004</c:v>
                </c:pt>
                <c:pt idx="7">
                  <c:v>0.99382289999999995</c:v>
                </c:pt>
                <c:pt idx="8">
                  <c:v>0.99919360000000002</c:v>
                </c:pt>
                <c:pt idx="9">
                  <c:v>1.003425</c:v>
                </c:pt>
                <c:pt idx="10">
                  <c:v>1.009287</c:v>
                </c:pt>
                <c:pt idx="11">
                  <c:v>1.013028</c:v>
                </c:pt>
              </c:numCache>
            </c:numRef>
          </c:val>
          <c:smooth val="0"/>
        </c:ser>
        <c:ser>
          <c:idx val="0"/>
          <c:order val="1"/>
          <c:spPr>
            <a:ln w="28575" cap="rnd">
              <a:solidFill>
                <a:schemeClr val="accent1"/>
              </a:solidFill>
              <a:round/>
            </a:ln>
            <a:effectLst/>
          </c:spPr>
          <c:marker>
            <c:symbol val="none"/>
          </c:marker>
          <c:val>
            <c:numRef>
              <c:f>'SI calculation'!$K$3:$K$14</c:f>
              <c:numCache>
                <c:formatCode>General</c:formatCode>
                <c:ptCount val="12"/>
                <c:pt idx="0">
                  <c:v>1</c:v>
                </c:pt>
                <c:pt idx="1">
                  <c:v>1</c:v>
                </c:pt>
                <c:pt idx="2">
                  <c:v>1</c:v>
                </c:pt>
                <c:pt idx="3">
                  <c:v>1</c:v>
                </c:pt>
                <c:pt idx="4">
                  <c:v>1</c:v>
                </c:pt>
                <c:pt idx="5">
                  <c:v>1</c:v>
                </c:pt>
                <c:pt idx="6">
                  <c:v>1</c:v>
                </c:pt>
                <c:pt idx="7">
                  <c:v>1</c:v>
                </c:pt>
                <c:pt idx="8">
                  <c:v>1</c:v>
                </c:pt>
                <c:pt idx="9">
                  <c:v>1</c:v>
                </c:pt>
                <c:pt idx="10">
                  <c:v>1</c:v>
                </c:pt>
                <c:pt idx="11">
                  <c:v>1</c:v>
                </c:pt>
              </c:numCache>
            </c:numRef>
          </c:val>
          <c:smooth val="0"/>
        </c:ser>
        <c:dLbls>
          <c:showLegendKey val="0"/>
          <c:showVal val="0"/>
          <c:showCatName val="0"/>
          <c:showSerName val="0"/>
          <c:showPercent val="0"/>
          <c:showBubbleSize val="0"/>
        </c:dLbls>
        <c:marker val="1"/>
        <c:smooth val="0"/>
        <c:axId val="176444408"/>
        <c:axId val="176444800"/>
      </c:lineChart>
      <c:catAx>
        <c:axId val="176444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444800"/>
        <c:crosses val="autoZero"/>
        <c:auto val="1"/>
        <c:lblAlgn val="ctr"/>
        <c:lblOffset val="100"/>
        <c:noMultiLvlLbl val="0"/>
      </c:catAx>
      <c:valAx>
        <c:axId val="17644480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444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Ban07</b:Tag>
    <b:SourceType>JournalArticle</b:SourceType>
    <b:Guid>{60E0287D-2C15-4A59-BFE0-A245D321886F}</b:Guid>
    <b:Title>The Economic Lives of the Poor</b:Title>
    <b:Year>2007</b:Year>
    <b:JournalName>Journal of Economic Perspective</b:JournalName>
    <b:Pages>141-167</b:Pages>
    <b:Author>
      <b:Author>
        <b:NameList>
          <b:Person>
            <b:Last>Banerjee</b:Last>
            <b:First>Abhijit</b:First>
          </b:Person>
          <b:Person>
            <b:Last>Duflo</b:Last>
            <b:First>Esther</b:First>
          </b:Person>
        </b:NameList>
      </b:Author>
    </b:Author>
    <b:RefOrder>1</b:RefOrder>
  </b:Source>
  <b:Source>
    <b:Tag>Reg01</b:Tag>
    <b:SourceType>ArticleInAPeriodical</b:SourceType>
    <b:Guid>{45E07075-379D-41B8-95C1-61B671B71762}</b:Guid>
    <b:Title>Changing Structure of Global Food Consumption and Trade</b:Title>
    <b:PeriodicalTitle>WRS: International Agriculture and Trade Outlook</b:PeriodicalTitle>
    <b:Year>2001</b:Year>
    <b:Month>May</b:Month>
    <b:Pages>14-22</b:Pages>
    <b:Publisher>ERS/USDA</b:Publisher>
    <b:City>Washington</b:City>
    <b:PublicationTitle>WRS: International Agriculture and Trade Outlook</b:PublicationTitle>
    <b:StateProvince>DC</b:StateProvince>
    <b:Author>
      <b:Author>
        <b:NameList>
          <b:Person>
            <b:Last>Regmi</b:Last>
            <b:First>Anita</b:First>
          </b:Person>
          <b:Person>
            <b:Last>Deepak</b:Last>
            <b:First>M. S.</b:First>
          </b:Person>
          <b:Person>
            <b:Last>Seale</b:Last>
            <b:Middle>L.</b:Middle>
            <b:First>James</b:First>
          </b:Person>
          <b:Person>
            <b:Last>Bernstein</b:Last>
            <b:First>Jason</b:First>
          </b:Person>
        </b:NameList>
      </b:Author>
      <b:Editor>
        <b:NameList>
          <b:Person>
            <b:Last>Regmi</b:Last>
            <b:First>Anita</b:First>
          </b:Person>
        </b:NameList>
      </b:Editor>
    </b:Author>
    <b:Issue>01-1</b:Issue>
    <b:URL>http://www.ers.usda.gov/media/293645/wrs011_1_.pdf</b:URL>
    <b:RefOrder>2</b:RefOrder>
  </b:Source>
  <b:Source>
    <b:Tag>Dea80</b:Tag>
    <b:SourceType>ArticleInAPeriodical</b:SourceType>
    <b:Guid>{2D41D8C0-773C-4CAF-AF10-9784283C2AB8}</b:Guid>
    <b:Title>The Measurement of Welfare: Theory and Practical Guidelines</b:Title>
    <b:PeriodicalTitle>LSMS Working Paper</b:PeriodicalTitle>
    <b:Year>1980</b:Year>
    <b:Author>
      <b:Author>
        <b:NameList>
          <b:Person>
            <b:Last>Deaton</b:Last>
            <b:First>Angus</b:First>
          </b:Person>
        </b:NameList>
      </b:Author>
    </b:Author>
    <b:City>Washington, DC</b:City>
    <b:Publisher>The World Bank</b:Publisher>
    <b:Issue>7</b:Issue>
    <b:RefOrder>3</b:RefOrder>
  </b:Source>
  <b:Source>
    <b:Tag>Wor14</b:Tag>
    <b:SourceType>ElectronicSource</b:SourceType>
    <b:Guid>{1B47BB38-47EC-45D6-B5C2-690F9732B626}</b:Guid>
    <b:Title>Introduction to poverty analysis</b:Title>
    <b:Year>2014</b:Year>
    <b:City>Washington, DC</b:City>
    <b:Author>
      <b:Author>
        <b:Corporate>World Bank</b:Corporate>
      </b:Author>
    </b:Author>
    <b:RefOrder>4</b:RefOrder>
  </b:Source>
  <b:Source>
    <b:Tag>Wor16</b:Tag>
    <b:SourceType>DocumentFromInternetSite</b:SourceType>
    <b:Guid>{293E9B70-98E4-4590-BBE7-43116E12AC6F}</b:Guid>
    <b:Title>The Market Monitor</b:Title>
    <b:Year>2016</b:Year>
    <b:Month>July</b:Month>
    <b:Author>
      <b:Author>
        <b:Corporate>World Food Programme</b:Corporate>
      </b:Author>
    </b:Author>
    <b:InternetSiteTitle>http://www.wfp.org/content/market-monitor</b:InternetSiteTitle>
    <b:RefOrder>5</b:RefOrder>
  </b:Source>
  <b:Source>
    <b:Tag>WFP</b:Tag>
    <b:SourceType>ElectronicSource</b:SourceType>
    <b:Guid>{1E4B367A-967F-43F2-AF6C-DA7A46C51CFA}</b:Guid>
    <b:Title>VAM Food and Commodity Prices Data Store</b:Title>
    <b:URL>http://foodprices.vam.wfp.org/</b:URL>
    <b:Author>
      <b:Author>
        <b:Corporate>WFP</b:Corporate>
      </b:Author>
    </b:Author>
    <b:City>Rome</b:City>
    <b:CountryRegion>IT</b:CountryRegion>
    <b:Year>2016</b:Year>
    <b:RefOrder>8</b:RefOrder>
  </b:Source>
  <b:Source>
    <b:Tag>FAO16</b:Tag>
    <b:SourceType>ElectronicSource</b:SourceType>
    <b:Guid>{7AD5AF5E-1A15-45FE-A06A-B4712FAE0889}</b:Guid>
    <b:Author>
      <b:Author>
        <b:Corporate>FAO</b:Corporate>
      </b:Author>
    </b:Author>
    <b:Title>GIEWS Food Price Data and Analysis Tool</b:Title>
    <b:City>Rome</b:City>
    <b:CountryRegion>IT</b:CountryRegion>
    <b:Year>2016</b:Year>
    <b:URL>http://www.foodsecurityportal.org/fao-giews-food-price-data-and-analysis-tool?print</b:URL>
    <b:RefOrder>9</b:RefOrder>
  </b:Source>
  <b:Source>
    <b:Tag>Itt04</b:Tag>
    <b:SourceType>JournalArticle</b:SourceType>
    <b:Guid>{D3B1F7EA-2D48-40F2-8338-E918D1AFDCD1}</b:Guid>
    <b:Title>Comparison of Efficient Seasonal Indexes</b:Title>
    <b:Year>2004</b:Year>
    <b:JournalName>Journal of Applied Mathematics and Decision Sciences</b:JournalName>
    <b:Pages>87-105</b:Pages>
    <b:Author>
      <b:Author>
        <b:NameList>
          <b:Person>
            <b:Last>Ittig</b:Last>
            <b:Middle>T.</b:Middle>
            <b:First>Peter</b:First>
          </b:Person>
        </b:NameList>
      </b:Author>
    </b:Author>
    <b:RefOrder>6</b:RefOrder>
  </b:Source>
  <b:Source>
    <b:Tag>Fos84</b:Tag>
    <b:SourceType>JournalArticle</b:SourceType>
    <b:Guid>{D29E5E6F-5013-42A0-B2E8-355AC085E644}</b:Guid>
    <b:Title>A Class of Decomposable Poverty Measures</b:Title>
    <b:JournalName>Econometrica</b:JournalName>
    <b:Year>1984</b:Year>
    <b:Pages>761-766</b:Pages>
    <b:Author>
      <b:Author>
        <b:NameList>
          <b:Person>
            <b:Last>Foster</b:Last>
            <b:First>James</b:First>
          </b:Person>
          <b:Person>
            <b:Last>Greer</b:Last>
            <b:First>Joel</b:First>
          </b:Person>
          <b:Person>
            <b:Last>Thorbecke</b:Last>
            <b:First>Eric</b:First>
          </b:Person>
        </b:NameList>
      </b:Author>
    </b:Author>
    <b:RefOrder>7</b:RefOrder>
  </b:Source>
</b:Sources>
</file>

<file path=customXml/itemProps1.xml><?xml version="1.0" encoding="utf-8"?>
<ds:datastoreItem xmlns:ds="http://schemas.openxmlformats.org/officeDocument/2006/customXml" ds:itemID="{E2E639D0-191C-4D29-8724-42B097D0F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2341</TotalTime>
  <Pages>12</Pages>
  <Words>3157</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21110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LATINO Lucia</dc:creator>
  <cp:keywords/>
  <dc:description/>
  <cp:lastModifiedBy>LATINO Lucia</cp:lastModifiedBy>
  <cp:revision>316</cp:revision>
  <dcterms:created xsi:type="dcterms:W3CDTF">2016-07-12T08:56:00Z</dcterms:created>
  <dcterms:modified xsi:type="dcterms:W3CDTF">2016-08-29T14:41:00Z</dcterms:modified>
</cp:coreProperties>
</file>