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4"/>
          <w:szCs w:val="34"/>
        </w:rPr>
        <w:t xml:space="preserve">TP 1 — La naturaleza de la econometría y los datos económicos</w:t>
      </w:r>
    </w:p>
    <w:p>
      <w:pPr>
        <w:spacing w:after="140" w:line="276"/>
        <w:jc w:val="both"/>
      </w:pPr>
      <w:r>
        <w:rPr>
          <w:rFonts w:ascii="Calibri" w:cs="Calibri" w:eastAsia="Calibri" w:hAnsi="Calibri"/>
          <w:b/>
          <w:bCs/>
          <w:sz w:val="22"/>
          <w:szCs w:val="22"/>
        </w:rPr>
        <w:t xml:space="preserve">Alumna: </w:t>
      </w:r>
      <w:r>
        <w:rPr>
          <w:rFonts w:ascii="Calibri" w:cs="Calibri" w:eastAsia="Calibri" w:hAnsi="Calibri"/>
          <w:sz w:val="22"/>
          <w:szCs w:val="22"/>
        </w:rPr>
        <w:t xml:space="preserve">Lucía Vázquez</w:t>
      </w:r>
    </w:p>
    <w:p>
      <w:pPr>
        <w:spacing w:after="140" w:line="276"/>
        <w:jc w:val="both"/>
      </w:pPr>
      <w:r>
        <w:rPr>
          <w:rFonts w:ascii="Calibri" w:cs="Calibri" w:eastAsia="Calibri" w:hAnsi="Calibri"/>
          <w:b/>
          <w:bCs/>
          <w:sz w:val="22"/>
          <w:szCs w:val="22"/>
        </w:rPr>
        <w:t xml:space="preserve">Materia: </w:t>
      </w:r>
      <w:r>
        <w:rPr>
          <w:rFonts w:ascii="Calibri" w:cs="Calibri" w:eastAsia="Calibri" w:hAnsi="Calibri"/>
          <w:sz w:val="22"/>
          <w:szCs w:val="22"/>
        </w:rPr>
        <w:t xml:space="preserve">Econometría I</w:t>
      </w:r>
    </w:p>
    <w:p>
      <w:pPr>
        <w:spacing w:after="140" w:line="276"/>
        <w:jc w:val="both"/>
      </w:pPr>
      <w:r>
        <w:rPr>
          <w:rFonts w:ascii="Calibri" w:cs="Calibri" w:eastAsia="Calibri" w:hAnsi="Calibri"/>
          <w:b/>
          <w:bCs/>
          <w:sz w:val="22"/>
          <w:szCs w:val="22"/>
        </w:rPr>
        <w:t xml:space="preserve">Fecha: </w:t>
      </w:r>
      <w:r>
        <w:rPr>
          <w:rFonts w:ascii="Calibri" w:cs="Calibri" w:eastAsia="Calibri" w:hAnsi="Calibri"/>
          <w:sz w:val="22"/>
          <w:szCs w:val="22"/>
        </w:rPr>
        <w:t xml:space="preserve">31/08/2026</w:t>
      </w:r>
    </w:p>
    <w:p>
      <w:pPr>
        <w:spacing w:after="140" w:line="276"/>
        <w:jc w:val="both"/>
      </w:pPr>
      <w:r>
        <w:rPr>
          <w:rFonts w:ascii="Calibri" w:cs="Calibri" w:eastAsia="Calibri" w:hAnsi="Calibri"/>
          <w:b/>
          <w:bCs/>
          <w:sz w:val="22"/>
          <w:szCs w:val="22"/>
        </w:rPr>
        <w:t xml:space="preserve">Referencia: </w:t>
      </w:r>
      <w:r>
        <w:rPr>
          <w:rFonts w:ascii="Calibri" w:cs="Calibri" w:eastAsia="Calibri" w:hAnsi="Calibri"/>
          <w:i/>
          <w:iCs/>
          <w:sz w:val="22"/>
          <w:szCs w:val="22"/>
        </w:rPr>
        <w:t xml:space="preserve">Wooldridge, Introducción a la econometría</w:t>
      </w:r>
      <w:r>
        <w:rPr>
          <w:rFonts w:ascii="Calibri" w:cs="Calibri" w:eastAsia="Calibri" w:hAnsi="Calibri"/>
          <w:sz w:val="22"/>
          <w:szCs w:val="22"/>
        </w:rPr>
        <w:t xml:space="preserve">, capítulo 1</w:t>
      </w:r>
    </w:p>
    <w:p>
      <w:pPr>
        <w:spacing w:after="140" w:line="276"/>
        <w:jc w:val="both"/>
      </w:pPr>
      <w:r>
        <w:rPr>
          <w:rFonts w:ascii="Calibri" w:cs="Calibri" w:eastAsia="Calibri" w:hAnsi="Calibri"/>
          <w:b/>
          <w:bCs/>
          <w:sz w:val="22"/>
          <w:szCs w:val="22"/>
        </w:rPr>
        <w:t xml:space="preserve">Entregable: </w:t>
      </w:r>
      <w:r>
        <w:rPr>
          <w:rFonts w:ascii="Calibri" w:cs="Calibri" w:eastAsia="Calibri" w:hAnsi="Calibri"/>
          <w:sz w:val="22"/>
          <w:szCs w:val="22"/>
        </w:rPr>
        <w:t xml:space="preserve">Ejercicios 1.2, 1.5, 1.6, 1.7 y 1.8</w:t>
      </w:r>
    </w:p>
    <w:p>
      <w:pPr>
        <w:spacing w:after="140" w:line="276"/>
        <w:jc w:val="both"/>
      </w:pPr>
      <w:r>
        <w:rPr>
          <w:rFonts w:ascii="Calibri" w:cs="Calibri" w:eastAsia="Calibri" w:hAnsi="Calibri"/>
          <w:sz w:val="22"/>
          <w:szCs w:val="22"/>
        </w:rPr>
        <w:t xml:space="preserve">Este documento sigue la plantilla de entrega (Anexo II): Encabezado, </w:t>
      </w:r>
      <w:r>
        <w:rPr>
          <w:rFonts w:ascii="Calibri" w:cs="Calibri" w:eastAsia="Calibri" w:hAnsi="Calibri"/>
          <w:sz w:val="22"/>
          <w:szCs w:val="22"/>
        </w:rPr>
        <w:t xml:space="preserve">1. Pregunta económica, 2. Datos, 3. Especificación, 4. Estimación, </w:t>
      </w:r>
      <w:r>
        <w:rPr>
          <w:rFonts w:ascii="Calibri" w:cs="Calibri" w:eastAsia="Calibri" w:hAnsi="Calibri"/>
          <w:sz w:val="22"/>
          <w:szCs w:val="22"/>
        </w:rPr>
        <w:t xml:space="preserve">5. Inferencia, 6. Interpretación económica, 7. Limitaciones. La plantilla </w:t>
      </w:r>
      <w:r>
        <w:rPr>
          <w:rFonts w:ascii="Calibri" w:cs="Calibri" w:eastAsia="Calibri" w:hAnsi="Calibri"/>
          <w:sz w:val="22"/>
          <w:szCs w:val="22"/>
        </w:rPr>
        <w:t xml:space="preserve">está pensada para una única estimación; como este TP pide cinco ejercicios </w:t>
      </w:r>
      <w:r>
        <w:rPr>
          <w:rFonts w:ascii="Calibri" w:cs="Calibri" w:eastAsia="Calibri" w:hAnsi="Calibri"/>
          <w:sz w:val="22"/>
          <w:szCs w:val="22"/>
        </w:rPr>
        <w:t xml:space="preserve">independientes —varios sin datos ni modelo estimado, porque el capítulo 1 </w:t>
      </w:r>
      <w:r>
        <w:rPr>
          <w:rFonts w:ascii="Calibri" w:cs="Calibri" w:eastAsia="Calibri" w:hAnsi="Calibri"/>
          <w:sz w:val="22"/>
          <w:szCs w:val="22"/>
        </w:rPr>
        <w:t xml:space="preserve">todavía no cubre regresión ni contraste de hipótesis— la estructura se aplica </w:t>
      </w:r>
      <w:r>
        <w:rPr>
          <w:rFonts w:ascii="Calibri" w:cs="Calibri" w:eastAsia="Calibri" w:hAnsi="Calibri"/>
          <w:sz w:val="22"/>
          <w:szCs w:val="22"/>
        </w:rPr>
        <w:t xml:space="preserve">dentro de cada ejercicio, marcando </w:t>
      </w:r>
      <w:r>
        <w:rPr>
          <w:rFonts w:ascii="Calibri" w:cs="Calibri" w:eastAsia="Calibri" w:hAnsi="Calibri"/>
          <w:i/>
          <w:iCs/>
          <w:sz w:val="22"/>
          <w:szCs w:val="22"/>
        </w:rPr>
        <w:t xml:space="preserve">“No aplica”</w:t>
      </w:r>
      <w:r>
        <w:rPr>
          <w:rFonts w:ascii="Calibri" w:cs="Calibri" w:eastAsia="Calibri" w:hAnsi="Calibri"/>
          <w:sz w:val="22"/>
          <w:szCs w:val="22"/>
        </w:rPr>
        <w:t xml:space="preserve"> (con la razón) en las secciones que no correspondan. El código completo y sus </w:t>
      </w:r>
      <w:r>
        <w:rPr>
          <w:rFonts w:ascii="Calibri" w:cs="Calibri" w:eastAsia="Calibri" w:hAnsi="Calibri"/>
          <w:sz w:val="22"/>
          <w:szCs w:val="22"/>
        </w:rPr>
        <w:t xml:space="preserve">salidas están en </w:t>
      </w:r>
      <w:r>
        <w:rPr>
          <w:rFonts w:ascii="Calibri" w:cs="Calibri" w:eastAsia="Calibri" w:hAnsi="Calibri"/>
          <w:sz w:val="22"/>
          <w:szCs w:val="22"/>
        </w:rPr>
        <w:t xml:space="preserve"/>
      </w:r>
      <w:r>
        <w:rPr>
          <w:rFonts w:ascii="Courier New" w:cs="Courier New" w:eastAsia="Courier New" w:hAnsi="Courier New"/>
          <w:sz w:val="20"/>
          <w:szCs w:val="20"/>
        </w:rPr>
        <w:t xml:space="preserve">TP1_python.ipynb</w:t>
      </w:r>
      <w:r>
        <w:rPr>
          <w:rFonts w:ascii="Calibri" w:cs="Calibri" w:eastAsia="Calibri" w:hAnsi="Calibri"/>
          <w:sz w:val="22"/>
          <w:szCs w:val="22"/>
        </w:rPr>
        <w:t xml:space="preserve"> y </w:t>
      </w:r>
      <w:r>
        <w:rPr>
          <w:rFonts w:ascii="Courier New" w:cs="Courier New" w:eastAsia="Courier New" w:hAnsi="Courier New"/>
          <w:sz w:val="20"/>
          <w:szCs w:val="20"/>
        </w:rPr>
        <w:t xml:space="preserve">TP1_R.R</w:t>
      </w:r>
      <w:r>
        <w:rPr>
          <w:rFonts w:ascii="Calibri" w:cs="Calibri" w:eastAsia="Calibri" w:hAnsi="Calibri"/>
          <w:sz w:val="22"/>
          <w:szCs w:val="22"/>
        </w:rPr>
        <w:t xml:space="preserve">; este documento presenta la ecuación estimada, la inferencia y el razonamiento económico.</w:t>
      </w:r>
    </w:p>
    <w:p>
      <w:pPr>
        <w:pStyle w:val="Heading1"/>
        <w:spacing w:after="120" w:before="360"/>
      </w:pPr>
      <w:r>
        <w:t xml:space="preserve">Ejercicio 1.2 (Wooldridge C1.2, bwght)</w:t>
      </w:r>
    </w:p>
    <w:p>
      <w:pPr>
        <w:spacing w:after="160"/>
        <w:jc w:val="both"/>
      </w:pPr>
      <w:r>
        <w:rPr>
          <w:rFonts w:ascii="Calibri" w:cs="Calibri" w:eastAsia="Calibri" w:hAnsi="Calibri"/>
          <w:i/>
          <w:iCs/>
          <w:color w:val="444444"/>
          <w:sz w:val="20"/>
          <w:szCs w:val="20"/>
        </w:rPr>
        <w:t xml:space="preserve">Consigna: informar cuántas mujeres hay en la muestra, cuántas fumaron durante el embarazo y el promedio de cigarrillos diarios (cigs); repetir el promedio solo entre las fumadoras y explicar la diferencia.</w:t>
      </w:r>
    </w:p>
    <w:p>
      <w:pPr>
        <w:pStyle w:val="Heading2"/>
        <w:spacing w:after="80" w:before="200"/>
      </w:pPr>
      <w:r>
        <w:rPr>
          <w:b/>
          <w:bCs/>
        </w:rPr>
        <w:t xml:space="preserve">1. Pregunta económica</w:t>
      </w:r>
    </w:p>
    <w:p>
      <w:pPr>
        <w:spacing w:after="140" w:line="276"/>
        <w:jc w:val="both"/>
      </w:pPr>
      <w:r>
        <w:rPr>
          <w:rFonts w:ascii="Calibri" w:cs="Calibri" w:eastAsia="Calibri" w:hAnsi="Calibri"/>
          <w:sz w:val="22"/>
          <w:szCs w:val="22"/>
        </w:rPr>
        <w:t xml:space="preserve">¿Cuánto fuma, en promedio, una mujer durante el embarazo, y cambia esa respuesta según se calcule sobre toda la población de nacimientos o solo sobre quienes efectivamente fuman? Importa porque el consumo de cigarrillos durante el embarazo es un determinante conocido del peso al nacer, y una medida mal elegida puede subestimar la exposición real de los bebés afectados.</w:t>
      </w:r>
    </w:p>
    <w:p>
      <w:pPr>
        <w:pStyle w:val="Heading2"/>
        <w:spacing w:after="80" w:before="200"/>
      </w:pPr>
      <w:r>
        <w:rPr>
          <w:b/>
          <w:bCs/>
        </w:rPr>
        <w:t xml:space="preserve">2. Datos</w:t>
      </w:r>
    </w:p>
    <w:p>
      <w:pPr>
        <w:spacing w:after="140" w:line="276"/>
        <w:jc w:val="both"/>
      </w:pPr>
      <w:r>
        <w:rPr>
          <w:rFonts w:ascii="Calibri" w:cs="Calibri" w:eastAsia="Calibri" w:hAnsi="Calibri"/>
          <w:sz w:val="22"/>
          <w:szCs w:val="22"/>
        </w:rPr>
        <w:t xml:space="preserve">bwght (paquete wooldridge). Corte transversal de nacimientos en Estados Unidos, 1,388 observaciones. Unidad de observación: nacimiento (madre que dio a luz). Variable utilizada: cigs, cigarrillos fumados por día durante el embarazo (cigarrillos/día).</w:t>
      </w:r>
    </w:p>
    <w:p>
      <w:pPr>
        <w:pStyle w:val="Heading2"/>
        <w:spacing w:after="80" w:before="200"/>
      </w:pPr>
      <w:r>
        <w:rPr>
          <w:b/>
          <w:bCs/>
        </w:rPr>
        <w:t xml:space="preserve">3. Especificación</w:t>
      </w:r>
    </w:p>
    <w:p>
      <w:pPr>
        <w:spacing w:after="140" w:line="276"/>
        <w:jc w:val="both"/>
      </w:pPr>
      <w:r>
        <w:rPr>
          <w:rFonts w:ascii="Calibri" w:cs="Calibri" w:eastAsia="Calibri" w:hAnsi="Calibri"/>
          <w:sz w:val="22"/>
          <w:szCs w:val="22"/>
        </w:rPr>
        <w:t xml:space="preserve">No hay una relación entre variable dependiente e independiente con un término de error: son dos parámetros poblacionales descriptivos, </w:t>
      </w:r>
      <w:r>
        <w:rPr>
          <w:rFonts w:ascii="Calibri" w:cs="Calibri" w:eastAsia="Calibri" w:hAnsi="Calibri"/>
          <w:i/>
          <w:iCs/>
          <w:sz w:val="22"/>
          <w:szCs w:val="22"/>
        </w:rPr>
        <w:t xml:space="preserve">μ = E(cigs)</w:t>
      </w:r>
      <w:r>
        <w:rPr>
          <w:rFonts w:ascii="Calibri" w:cs="Calibri" w:eastAsia="Calibri" w:hAnsi="Calibri"/>
          <w:sz w:val="22"/>
          <w:szCs w:val="22"/>
        </w:rPr>
        <w:t xml:space="preserve"> y </w:t>
      </w:r>
      <w:r>
        <w:rPr>
          <w:rFonts w:ascii="Calibri" w:cs="Calibri" w:eastAsia="Calibri" w:hAnsi="Calibri"/>
          <w:i/>
          <w:iCs/>
          <w:sz w:val="22"/>
          <w:szCs w:val="22"/>
        </w:rPr>
        <w:t xml:space="preserve">μₛ = E(cigs | cigs &gt; 0)</w:t>
      </w:r>
      <w:r>
        <w:rPr>
          <w:rFonts w:ascii="Calibri" w:cs="Calibri" w:eastAsia="Calibri" w:hAnsi="Calibri"/>
          <w:sz w:val="22"/>
          <w:szCs w:val="22"/>
        </w:rPr>
        <w:t xml:space="preserve">, estimados por sus análogos muestrales: la media sobre toda la muestra y la media condicional entre fumadoras.</w:t>
      </w:r>
    </w:p>
    <w:p>
      <w:pPr>
        <w:pStyle w:val="Heading2"/>
        <w:spacing w:after="80" w:before="200"/>
      </w:pPr>
      <w:r>
        <w:rPr>
          <w:b/>
          <w:bCs/>
        </w:rPr>
        <w:t xml:space="preserve">4. Estimación</w:t>
      </w:r>
    </w:p>
    <w:p>
      <w:pPr>
        <w:spacing w:after="140" w:line="276"/>
        <w:jc w:val="both"/>
      </w:pPr>
      <w:r>
        <w:rPr>
          <w:rFonts w:ascii="Calibri" w:cs="Calibri" w:eastAsia="Calibri" w:hAnsi="Calibri"/>
          <w:sz w:val="22"/>
          <w:szCs w:val="22"/>
        </w:rPr>
        <w:t xml:space="preserve">Código en R y en Python en los archivos adjuntos (TP1_R.R, TP1_python.ipynb).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μ̂ = 2.087 cig/día</w:t>
            </w:r>
          </w:p>
        </w:tc>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μ̂ₛ = 13.665 cig/día</w:t>
            </w:r>
          </w:p>
        </w:tc>
      </w:tr>
    </w:tbl>
    <w:p>
      <w:pPr>
        <w:spacing w:after="200" w:before="60"/>
        <w:jc w:val="center"/>
      </w:pPr>
      <w:r>
        <w:rPr>
          <w:rFonts w:ascii="Courier New" w:cs="Courier New" w:eastAsia="Courier New" w:hAnsi="Courier New"/>
          <w:sz w:val="20"/>
          <w:szCs w:val="20"/>
        </w:rPr>
        <w:t xml:space="preserve">n = 1,388                nₛ = 212</w:t>
      </w:r>
    </w:p>
    <w:p>
      <w:pPr>
        <w:pStyle w:val="Heading2"/>
        <w:spacing w:after="80" w:before="200"/>
      </w:pPr>
      <w:r>
        <w:rPr>
          <w:b/>
          <w:bCs/>
        </w:rPr>
        <w:t xml:space="preserve">5. Inferencia</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El ejercicio no define dos poblaciones cuya diferencia deba contrastarse ni una hipótesis de referencia: pide elegir cuál de dos promedios responde mejor a la pregunta planteada, no una prueba estadística sobre una diferencia.</w:t>
      </w:r>
    </w:p>
    <w:p>
      <w:pPr>
        <w:pStyle w:val="Heading2"/>
        <w:spacing w:after="80" w:before="200"/>
      </w:pPr>
      <w:r>
        <w:rPr>
          <w:b/>
          <w:bCs/>
        </w:rPr>
        <w:t xml:space="preserve">6. Interpretación económica</w:t>
      </w:r>
    </w:p>
    <w:p>
      <w:pPr>
        <w:spacing w:after="140" w:line="276"/>
        <w:jc w:val="both"/>
      </w:pPr>
      <w:r>
        <w:rPr>
          <w:rFonts w:ascii="Calibri" w:cs="Calibri" w:eastAsia="Calibri" w:hAnsi="Calibri"/>
          <w:sz w:val="22"/>
          <w:szCs w:val="22"/>
        </w:rPr>
        <w:t xml:space="preserve">La muestra tiene 1,388 mujeres que dieron a luz; 212 (15.3%) reportan haber fumado durante el embarazo. El promedio de cigarrillos diarios sobre toda la muestra, 2.09, mezcla el 84.7% que fumó cero cigarrillos con quienes fuman mucho, y por eso no describe la intensidad de consumo de nadie en particular. El promedio condicional en cigs &gt; 0, 13.67 cigarrillos diarios, sí aísla al grupo relevante y es la cifra que responde “cuánto fuma una mujer que fuma”: una intensidad de consumo considerable, más de media cajetilla diaria.</w:t>
      </w:r>
    </w:p>
    <w:p>
      <w:pPr>
        <w:pStyle w:val="Heading2"/>
        <w:spacing w:after="80" w:before="200"/>
      </w:pPr>
      <w:r>
        <w:rPr>
          <w:b/>
          <w:bCs/>
        </w:rPr>
        <w:t xml:space="preserve">7. Limitaciones</w:t>
      </w:r>
    </w:p>
    <w:p>
      <w:pPr>
        <w:spacing w:after="140" w:line="276"/>
        <w:jc w:val="both"/>
      </w:pPr>
      <w:r>
        <w:rPr>
          <w:rFonts w:ascii="Calibri" w:cs="Calibri" w:eastAsia="Calibri" w:hAnsi="Calibri"/>
          <w:sz w:val="22"/>
          <w:szCs w:val="22"/>
        </w:rPr>
        <w:t xml:space="preserve">Ambas cifras dependen de un dato autorreportado sobre una conducta estigmatizada socialmente durante el embarazo, por lo que es esperable una subdeclaración tanto de quién fuma (212 podría ser un piso) como de cuánto fuma cada una (13.67 también podría ser un piso). La variable que falta es una medida objetiva de exposición (por ejemplo, cotinina en sangre u orina); en su ausencia, el sesgo de subdeclaración empuja ambos promedios hacia abajo respecto del consumo verdadero.</w:t>
      </w:r>
    </w:p>
    <w:p>
      <w:pPr>
        <w:pStyle w:val="Heading1"/>
        <w:spacing w:after="120" w:before="360"/>
      </w:pPr>
      <w:r>
        <w:t xml:space="preserve">Ejercicio 1.5 (wage1)</w:t>
      </w:r>
    </w:p>
    <w:p>
      <w:pPr>
        <w:spacing w:after="160"/>
        <w:jc w:val="both"/>
      </w:pPr>
      <w:r>
        <w:rPr>
          <w:rFonts w:ascii="Calibri" w:cs="Calibri" w:eastAsia="Calibri" w:hAnsi="Calibri"/>
          <w:i/>
          <w:iCs/>
          <w:color w:val="444444"/>
          <w:sz w:val="20"/>
          <w:szCs w:val="20"/>
        </w:rPr>
        <w:t xml:space="preserve">Consigna: calcular el salario promedio por hora de varones y mujeres, nombrar tres variables del dataset que podrían explicar parte de la brecha sin invocar discriminación e indicar en qué dirección operaría cada una.</w:t>
      </w:r>
    </w:p>
    <w:p>
      <w:pPr>
        <w:pStyle w:val="Heading2"/>
        <w:spacing w:after="80" w:before="200"/>
      </w:pPr>
      <w:r>
        <w:rPr>
          <w:b/>
          <w:bCs/>
        </w:rPr>
        <w:t xml:space="preserve">1. Pregunta económica</w:t>
      </w:r>
    </w:p>
    <w:p>
      <w:pPr>
        <w:spacing w:after="140" w:line="276"/>
        <w:jc w:val="both"/>
      </w:pPr>
      <w:r>
        <w:rPr>
          <w:rFonts w:ascii="Calibri" w:cs="Calibri" w:eastAsia="Calibri" w:hAnsi="Calibri"/>
          <w:sz w:val="22"/>
          <w:szCs w:val="22"/>
        </w:rPr>
        <w:t xml:space="preserve">¿Cuánto difiere el salario horario promedio entre varones y mujeres en la muestra, y es esa diferencia demasiado grande para ser producto del azar muestral? Es el punto de partida habitual para estudiar la brecha salarial de género, aunque por sí sola la comparación bruta de medias no permite atribuir la diferencia a discriminación.</w:t>
      </w:r>
    </w:p>
    <w:p>
      <w:pPr>
        <w:pStyle w:val="Heading2"/>
        <w:spacing w:after="80" w:before="200"/>
      </w:pPr>
      <w:r>
        <w:rPr>
          <w:b/>
          <w:bCs/>
        </w:rPr>
        <w:t xml:space="preserve">2. Datos</w:t>
      </w:r>
    </w:p>
    <w:p>
      <w:pPr>
        <w:spacing w:after="140" w:line="276"/>
        <w:jc w:val="both"/>
      </w:pPr>
      <w:r>
        <w:rPr>
          <w:rFonts w:ascii="Calibri" w:cs="Calibri" w:eastAsia="Calibri" w:hAnsi="Calibri"/>
          <w:sz w:val="22"/>
          <w:szCs w:val="22"/>
        </w:rPr>
        <w:t xml:space="preserve">wage1 (paquete wooldridge). Corte transversal, Current Population Survey de Estados Unidos, 1976, 526 individuos empleados. Unidad de observación: individuo. Variables utilizadas: wage (salario, USD/hora de 1976), female (1 = mujer, 0 = varón), y como referencia educ, exper y tenure (años de educación, experiencia potencial y antigüedad en el empleo actual).</w:t>
      </w:r>
    </w:p>
    <w:p>
      <w:pPr>
        <w:pStyle w:val="Heading2"/>
        <w:spacing w:after="80" w:before="200"/>
      </w:pPr>
      <w:r>
        <w:rPr>
          <w:b/>
          <w:bCs/>
        </w:rPr>
        <w:t xml:space="preserve">3. Especificación</w:t>
      </w:r>
    </w:p>
    <w:p>
      <w:pPr>
        <w:spacing w:after="140" w:line="276"/>
        <w:jc w:val="both"/>
      </w:pPr>
      <w:r>
        <w:rPr>
          <w:rFonts w:ascii="Calibri" w:cs="Calibri" w:eastAsia="Calibri" w:hAnsi="Calibri"/>
          <w:sz w:val="22"/>
          <w:szCs w:val="22"/>
        </w:rPr>
        <w:t xml:space="preserve">La comparación de medias entre dos grupos es algebraicamente una regresión simple con un regresor binario: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wageᵢ = β₀ + β₁ femaleᵢ + uᵢ</w:t>
            </w:r>
          </w:p>
        </w:tc>
      </w:tr>
    </w:tbl>
    <w:p>
      <w:pPr>
        <w:spacing w:after="200" w:before="60"/>
        <w:jc w:val="center"/>
      </w:pPr>
      <w:r>
        <w:rPr>
          <w:rFonts w:ascii="Courier New" w:cs="Courier New" w:eastAsia="Courier New" w:hAnsi="Courier New"/>
          <w:sz w:val="20"/>
          <w:szCs w:val="20"/>
        </w:rPr>
        <w:t xml:space="preserve"/>
      </w:r>
    </w:p>
    <w:p>
      <w:pPr>
        <w:spacing w:after="140" w:line="276"/>
        <w:jc w:val="both"/>
      </w:pPr>
      <w:r>
        <w:rPr>
          <w:rFonts w:ascii="Calibri" w:cs="Calibri" w:eastAsia="Calibri" w:hAnsi="Calibri"/>
          <w:sz w:val="22"/>
          <w:szCs w:val="22"/>
        </w:rPr>
        <w:t xml:space="preserve">donde β₀ = E(wage | female=0) es el salario promedio de los varones, β₀+β₁ el de las mujeres, y β₁ la diferencia promedio bruta. El supuesto </w:t>
      </w:r>
      <w:r>
        <w:rPr>
          <w:rFonts w:ascii="Calibri" w:cs="Calibri" w:eastAsia="Calibri" w:hAnsi="Calibri"/>
          <w:i/>
          <w:iCs/>
          <w:sz w:val="22"/>
          <w:szCs w:val="22"/>
        </w:rPr>
        <w:t xml:space="preserve">E(uᵢ | femaleᵢ) = 0</w:t>
      </w:r>
      <w:r>
        <w:rPr>
          <w:rFonts w:ascii="Calibri" w:cs="Calibri" w:eastAsia="Calibri" w:hAnsi="Calibri"/>
          <w:sz w:val="22"/>
          <w:szCs w:val="22"/>
        </w:rPr>
        <w:t xml:space="preserve"> es precisamente lo que está en duda: si female está correlacionada con otros determinantes del salario omitidos de esta especificación (antigüedad, ocupación), el supuesto falla y β̂₁ no puede leerse como el efecto “puro” de ser mujer.</w:t>
      </w:r>
    </w:p>
    <w:p>
      <w:pPr>
        <w:pStyle w:val="Heading2"/>
        <w:spacing w:after="80" w:before="200"/>
      </w:pPr>
      <w:r>
        <w:rPr>
          <w:b/>
          <w:bCs/>
        </w:rPr>
        <w:t xml:space="preserve">4. Estimación</w:t>
      </w:r>
    </w:p>
    <w:p>
      <w:pPr>
        <w:spacing w:after="140" w:line="276"/>
        <w:jc w:val="both"/>
      </w:pPr>
      <w:r>
        <w:rPr>
          <w:rFonts w:ascii="Calibri" w:cs="Calibri" w:eastAsia="Calibri" w:hAnsi="Calibri"/>
          <w:sz w:val="22"/>
          <w:szCs w:val="22"/>
        </w:rPr>
        <w:t xml:space="preserve">Ecuación estimada, formato del libro: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ŵage = 7.0995</w:t>
            </w:r>
          </w:p>
        </w:tc>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− 2.5118 female</w:t>
            </w:r>
          </w:p>
        </w:tc>
      </w:tr>
      <w:tr>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(0.2100)</w:t>
            </w:r>
          </w:p>
        </w:tc>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(0.3034)</w:t>
            </w:r>
          </w:p>
        </w:tc>
      </w:tr>
    </w:tbl>
    <w:p>
      <w:pPr>
        <w:spacing w:after="200" w:before="60"/>
        <w:jc w:val="center"/>
      </w:pPr>
      <w:r>
        <w:rPr>
          <w:rFonts w:ascii="Courier New" w:cs="Courier New" w:eastAsia="Courier New" w:hAnsi="Courier New"/>
          <w:sz w:val="20"/>
          <w:szCs w:val="20"/>
        </w:rPr>
        <w:t xml:space="preserve">n = 526                    R² = 0.116</w:t>
      </w:r>
    </w:p>
    <w:p>
      <w:pPr>
        <w:pStyle w:val="Heading2"/>
        <w:spacing w:after="80" w:before="200"/>
      </w:pPr>
      <w:r>
        <w:rPr>
          <w:b/>
          <w:bCs/>
        </w:rPr>
        <w:t xml:space="preserve">5. Inferencia</w:t>
      </w:r>
    </w:p>
    <w:p>
      <w:pPr>
        <w:spacing w:after="140" w:line="276"/>
        <w:jc w:val="both"/>
      </w:pPr>
      <w:r>
        <w:rPr>
          <w:rFonts w:ascii="Calibri" w:cs="Calibri" w:eastAsia="Calibri" w:hAnsi="Calibri"/>
          <w:sz w:val="22"/>
          <w:szCs w:val="22"/>
        </w:rPr>
        <w:t xml:space="preserve">H₀: β₁ = 0 (no hay diferencia salarial promedio entre varones y mujeres) vs. Hₐ: β₁ ≠ 0. Estadístico t = −2.5118 / 0.3034 = −8.28 con 524 grados de libertad; valor p ≈ 1.0×10⁻¹⁵. Se rechaza H₀ ampliamente al 1%: la brecha observada es demasiado grande y demasiado precisa para atribuirla al azar muestral.</w:t>
      </w:r>
    </w:p>
    <w:p>
      <w:pPr>
        <w:pStyle w:val="Heading2"/>
        <w:spacing w:after="80" w:before="200"/>
      </w:pPr>
      <w:r>
        <w:rPr>
          <w:b/>
          <w:bCs/>
        </w:rPr>
        <w:t xml:space="preserve">6. Interpretación económica</w:t>
      </w:r>
    </w:p>
    <w:p>
      <w:pPr>
        <w:spacing w:after="140" w:line="276"/>
        <w:jc w:val="both"/>
      </w:pPr>
      <w:r>
        <w:rPr>
          <w:rFonts w:ascii="Calibri" w:cs="Calibri" w:eastAsia="Calibri" w:hAnsi="Calibri"/>
          <w:sz w:val="22"/>
          <w:szCs w:val="22"/>
        </w:rPr>
        <w:t xml:space="preserve">El salario promedio es 7.10 USD/hora para los varones y 4.59 USD/hora para las mujeres: una brecha de 2.51 USD/hora, un 35.4% del salario masculino. Es una magnitud económicamente grande y, según la inferencia anterior, estadísticamente distinguible de cero. Sin invocar discriminación, tres variables de wage1 explican parte de ella: tenure (los varones promedian 6.47 años de antigüedad contra 3.62 de las mujeres, y el salario suele crecer con la antigüedad); la distribución ocupacional (44.9% de los varones está en ocupaciones profesionales contra 27.8% de las mujeres, mientras ellas están sobrerrepresentadas en clerical, 30.6% vs. 4.0%, y servicios, 19.8% vs. 8.8%); y exper (17.56 años promedio para varones contra 16.43 para mujeres, en la misma dirección aunque de menor magnitud).</w:t>
      </w:r>
    </w:p>
    <w:p>
      <w:pPr>
        <w:pStyle w:val="Heading2"/>
        <w:spacing w:after="80" w:before="200"/>
      </w:pPr>
      <w:r>
        <w:rPr>
          <w:b/>
          <w:bCs/>
        </w:rPr>
        <w:t xml:space="preserve">7. Limitaciones</w:t>
      </w:r>
    </w:p>
    <w:p>
      <w:pPr>
        <w:spacing w:after="140" w:line="276"/>
        <w:jc w:val="both"/>
      </w:pPr>
      <w:r>
        <w:rPr>
          <w:rFonts w:ascii="Calibri" w:cs="Calibri" w:eastAsia="Calibri" w:hAnsi="Calibri"/>
          <w:sz w:val="22"/>
          <w:szCs w:val="22"/>
        </w:rPr>
        <w:t xml:space="preserve">Esta comparación bruta no puede leerse como el efecto causal de ser mujer sobre el salario. La variable omitida más concreta es tenure: al incorporarla,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ŵage = 6.136</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− 2.087 female</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+ 0.149 tenure</w:t>
            </w:r>
          </w:p>
        </w:tc>
      </w:tr>
      <w:tr>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(0.295)</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(0.020)</w:t>
            </w:r>
          </w:p>
        </w:tc>
      </w:tr>
    </w:tbl>
    <w:p>
      <w:pPr>
        <w:spacing w:after="200" w:before="60"/>
        <w:jc w:val="center"/>
      </w:pPr>
      <w:r>
        <w:rPr>
          <w:rFonts w:ascii="Courier New" w:cs="Courier New" w:eastAsia="Courier New" w:hAnsi="Courier New"/>
          <w:sz w:val="20"/>
          <w:szCs w:val="20"/>
        </w:rPr>
        <w:t xml:space="preserve">n = 526</w:t>
      </w:r>
    </w:p>
    <w:p>
      <w:pPr>
        <w:spacing w:after="140" w:line="276"/>
        <w:jc w:val="both"/>
      </w:pPr>
      <w:r>
        <w:rPr>
          <w:rFonts w:ascii="Calibri" w:cs="Calibri" w:eastAsia="Calibri" w:hAnsi="Calibri"/>
          <w:sz w:val="22"/>
          <w:szCs w:val="22"/>
        </w:rPr>
        <w:t xml:space="preserve">el coeficiente de female pasa de −2.512 a −2.087. Como las mujeres de la muestra tienen sistemáticamente menos antigüedad y la antigüedad se asocia positivamente con el salario, omitir tenure sesga el coeficiente de female hacia abajo (lo hace más negativo de lo que sería manteniendo la antigüedad constante): parte de los 2.51 dólares de brecha bruta refleja la menor antigüedad promedio de las mujeres en la muestra, no un trato salarial distinto dentro del mismo puesto y la misma antigüedad.</w:t>
      </w:r>
    </w:p>
    <w:p>
      <w:pPr>
        <w:pStyle w:val="Heading1"/>
        <w:spacing w:after="120" w:before="360"/>
      </w:pPr>
      <w:r>
        <w:t xml:space="preserve">Ejercicio 1.6 (aproximación logarítmica)</w:t>
      </w:r>
    </w:p>
    <w:p>
      <w:pPr>
        <w:spacing w:after="160"/>
        <w:jc w:val="both"/>
      </w:pPr>
      <w:r>
        <w:rPr>
          <w:rFonts w:ascii="Calibri" w:cs="Calibri" w:eastAsia="Calibri" w:hAnsi="Calibri"/>
          <w:i/>
          <w:iCs/>
          <w:color w:val="444444"/>
          <w:sz w:val="20"/>
          <w:szCs w:val="20"/>
        </w:rPr>
        <w:t xml:space="preserve">Consigna: comparar el cambio porcentual exacto y la aproximación logarítmica para 6,000 vs. 5,500 dólares de gasto por alumno, repetir con 5,500 vs. 11,000, y formular una regla práctica de cuándo usar la aproximación.</w:t>
      </w:r>
    </w:p>
    <w:p>
      <w:pPr>
        <w:pStyle w:val="Heading2"/>
        <w:spacing w:after="80" w:before="200"/>
      </w:pPr>
      <w:r>
        <w:rPr>
          <w:b/>
          <w:bCs/>
        </w:rPr>
        <w:t xml:space="preserve">1. Pregunta económica</w:t>
      </w:r>
    </w:p>
    <w:p>
      <w:pPr>
        <w:spacing w:after="140" w:line="276"/>
        <w:jc w:val="both"/>
      </w:pPr>
      <w:r>
        <w:rPr>
          <w:rFonts w:ascii="Calibri" w:cs="Calibri" w:eastAsia="Calibri" w:hAnsi="Calibri"/>
          <w:sz w:val="22"/>
          <w:szCs w:val="22"/>
        </w:rPr>
        <w:t xml:space="preserve">¿Qué tan confiable es la aproximación %Δx ≈ 100·[log(x₁) − log(x₀)] para medir cambios porcentuales en el gasto educativo por alumno, y en qué dirección se equivoca cuando el cambio es grande? Es la base de leer los coeficientes de variables en logaritmos directamente como cambios porcentuales, algo habitual en econometría aplicada.</w:t>
      </w:r>
    </w:p>
    <w:p>
      <w:pPr>
        <w:pStyle w:val="Heading2"/>
        <w:spacing w:after="80" w:before="200"/>
      </w:pPr>
      <w:r>
        <w:rPr>
          <w:b/>
          <w:bCs/>
        </w:rPr>
        <w:t xml:space="preserve">2. Datos</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Se trabaja con dos pares de valores hipotéticos de gasto por alumno (6,000 vs. 5,500 y 5,500 vs. 11,000 dólares), no con una muestra.</w:t>
      </w:r>
    </w:p>
    <w:p>
      <w:pPr>
        <w:pStyle w:val="Heading2"/>
        <w:spacing w:after="80" w:before="200"/>
      </w:pPr>
      <w:r>
        <w:rPr>
          <w:b/>
          <w:bCs/>
        </w:rPr>
        <w:t xml:space="preserve">3. Especificación</w:t>
      </w:r>
    </w:p>
    <w:p>
      <w:pPr>
        <w:spacing w:after="140" w:line="276"/>
        <w:jc w:val="both"/>
      </w:pPr>
      <w:r>
        <w:rPr>
          <w:rFonts w:ascii="Calibri" w:cs="Calibri" w:eastAsia="Calibri" w:hAnsi="Calibri"/>
          <w:sz w:val="22"/>
          <w:szCs w:val="22"/>
        </w:rPr>
        <w:t xml:space="preserve">Cambio porcentual exacto y su aproximación de primer orden, con g = (x₁−x₀)/x₀ el cambio proporcional: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%Δx_exacto = 100 g</w:t>
            </w:r>
          </w:p>
        </w:tc>
        <w:tc>
          <w:tcPr>
            <w:tcW w:type="dxa" w:w="45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%Δx_log = 100 log(1+g) ≈ 100 g  para g pequeño</w:t>
            </w:r>
          </w:p>
        </w:tc>
      </w:tr>
    </w:tbl>
    <w:p>
      <w:pPr>
        <w:spacing w:after="200" w:before="60"/>
        <w:jc w:val="center"/>
      </w:pPr>
      <w:r>
        <w:rPr>
          <w:rFonts w:ascii="Courier New" w:cs="Courier New" w:eastAsia="Courier New" w:hAnsi="Courier New"/>
          <w:sz w:val="20"/>
          <w:szCs w:val="20"/>
        </w:rPr>
        <w:t xml:space="preserve"/>
      </w:r>
    </w:p>
    <w:p>
      <w:pPr>
        <w:pStyle w:val="Heading2"/>
        <w:spacing w:after="80" w:before="200"/>
      </w:pPr>
      <w:r>
        <w:rPr>
          <w:b/>
          <w:bCs/>
        </w:rPr>
        <w:t xml:space="preserve">4. Estimación</w:t>
      </w:r>
    </w:p>
    <w:p>
      <w:pPr>
        <w:spacing w:after="140" w:line="276"/>
        <w:jc w:val="both"/>
      </w:pPr>
      <w:r>
        <w:rPr>
          <w:rFonts w:ascii="Calibri" w:cs="Calibri" w:eastAsia="Calibri" w:hAnsi="Calibri"/>
          <w:sz w:val="22"/>
          <w:szCs w:val="22"/>
        </w:rPr>
        <w:t xml:space="preserve">Código en R y Python en los archivos adjuntos.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5,500 → 6,000: exacto = 9.09%</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log = 8.70%</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error = −0.39 p.p.</w:t>
            </w:r>
          </w:p>
        </w:tc>
      </w:tr>
      <w:tr>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5,500 → 11,000: exacto = 100.00%</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log = 69.31%</w:t>
            </w:r>
          </w:p>
        </w:tc>
        <w:tc>
          <w:tcPr>
            <w:tcW w:type="dxa" w:w="3000"/>
            <w:tcBorders>
              <w:top w:val="none"/>
              <w:left w:val="none"/>
              <w:bottom w:val="none"/>
              <w:right w:val="none"/>
            </w:tcBorders>
            <w:shd w:fill="F2F2F2" w:val="clear"/>
          </w:tcPr>
          <w:p>
            <w:pPr>
              <w:jc w:val="center"/>
            </w:pPr>
            <w:r>
              <w:rPr>
                <w:rFonts w:ascii="Courier New" w:cs="Courier New" w:eastAsia="Courier New" w:hAnsi="Courier New"/>
                <w:sz w:val="20"/>
                <w:szCs w:val="20"/>
              </w:rPr>
              <w:t xml:space="preserve">error = −30.69 p.p.</w:t>
            </w:r>
          </w:p>
        </w:tc>
      </w:tr>
    </w:tbl>
    <w:p>
      <w:pPr>
        <w:spacing w:after="200" w:before="60"/>
        <w:jc w:val="center"/>
      </w:pPr>
      <w:r>
        <w:rPr>
          <w:rFonts w:ascii="Courier New" w:cs="Courier New" w:eastAsia="Courier New" w:hAnsi="Courier New"/>
          <w:sz w:val="20"/>
          <w:szCs w:val="20"/>
        </w:rPr>
        <w:t xml:space="preserve"/>
      </w:r>
    </w:p>
    <w:p>
      <w:pPr>
        <w:pStyle w:val="Heading2"/>
        <w:spacing w:after="80" w:before="200"/>
      </w:pPr>
      <w:r>
        <w:rPr>
          <w:b/>
          <w:bCs/>
        </w:rPr>
        <w:t xml:space="preserve">5. Inferencia</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No hay una muestra ni un parámetro poblacional que estimar a partir de datos con ruido; ambas cantidades son cálculos determinísticos sobre valores dados.</w:t>
      </w:r>
    </w:p>
    <w:p>
      <w:pPr>
        <w:pStyle w:val="Heading2"/>
        <w:spacing w:after="80" w:before="200"/>
      </w:pPr>
      <w:r>
        <w:rPr>
          <w:b/>
          <w:bCs/>
        </w:rPr>
        <w:t xml:space="preserve">6. Interpretación económica</w:t>
      </w:r>
    </w:p>
    <w:p>
      <w:pPr>
        <w:spacing w:after="140" w:line="276"/>
        <w:jc w:val="both"/>
      </w:pPr>
      <w:r>
        <w:rPr>
          <w:rFonts w:ascii="Calibri" w:cs="Calibri" w:eastAsia="Calibri" w:hAnsi="Calibri"/>
          <w:sz w:val="22"/>
          <w:szCs w:val="22"/>
        </w:rPr>
        <w:t xml:space="preserve">Para el cambio de 5,500 a 6,000 dólares, el error de la aproximación es de menos de medio punto porcentual; para el cambio de 5,500 a 11,000, el error es de casi 31 puntos porcentuales. La aproximación se degrada a medida que el cambio relativo se aleja de cero porque log(1+g) ≈ g es una aproximación de Taylor de primer orden válida solo para g pequeño; cuando x se duplica, g=1 ya no es “pequeño” y la aproximación lineal deja de servir. Regla práctica: usarla con confianza para cambios de hasta 10-15% (error por debajo de 1 punto porcentual); para cambios mayores al 20-30%, reportar el cambio porcentual exacto.</w:t>
      </w:r>
    </w:p>
    <w:p>
      <w:pPr>
        <w:pStyle w:val="Heading2"/>
        <w:spacing w:after="80" w:before="200"/>
      </w:pPr>
      <w:r>
        <w:rPr>
          <w:b/>
          <w:bCs/>
        </w:rPr>
        <w:t xml:space="preserve">7. Limitaciones</w:t>
      </w:r>
    </w:p>
    <w:p>
      <w:pPr>
        <w:spacing w:after="140" w:line="276"/>
        <w:jc w:val="both"/>
      </w:pPr>
      <w:r>
        <w:rPr>
          <w:rFonts w:ascii="Calibri" w:cs="Calibri" w:eastAsia="Calibri" w:hAnsi="Calibri"/>
          <w:sz w:val="22"/>
          <w:szCs w:val="22"/>
        </w:rPr>
        <w:t xml:space="preserve">Es una limitación matemática, no de datos: como log es cóncavo, log(1+g) ≤ g para todo g, con igualdad solo en g=0. Esto implica una dirección de error sistemática: para aumentos (g&gt;0) la aproximación subestima el crecimiento verdadero, y para caídas (g&lt;0) la aproximación logarítmica es más negativa que el cambio exacto, es decir sobrestima la magnitud de la caída. Cualquier lectura de un coeficiente en logaritmos como “cambio porcentual” hereda este mismo sesgo cuando el coeficiente implica cambios grandes.</w:t>
      </w:r>
    </w:p>
    <w:p>
      <w:pPr>
        <w:pStyle w:val="Heading1"/>
        <w:spacing w:after="120" w:before="360"/>
      </w:pPr>
      <w:r>
        <w:t xml:space="preserve">Ejercicio 1.7 (estructura de datos)</w:t>
      </w:r>
    </w:p>
    <w:p>
      <w:pPr>
        <w:spacing w:after="160"/>
        <w:jc w:val="both"/>
      </w:pPr>
      <w:r>
        <w:rPr>
          <w:rFonts w:ascii="Calibri" w:cs="Calibri" w:eastAsia="Calibri" w:hAnsi="Calibri"/>
          <w:i/>
          <w:iCs/>
          <w:color w:val="444444"/>
          <w:sz w:val="20"/>
          <w:szCs w:val="20"/>
        </w:rPr>
        <w:t xml:space="preserve">Consigna: clasificar cuatro conjuntos de datos según su estructura (corte transversal, serie de tiempo, corte transversal combinado o panel).</w:t>
      </w:r>
    </w:p>
    <w:p>
      <w:pPr>
        <w:pStyle w:val="Heading2"/>
        <w:spacing w:after="80" w:before="200"/>
      </w:pPr>
      <w:r>
        <w:rPr>
          <w:b/>
          <w:bCs/>
        </w:rPr>
        <w:t xml:space="preserve">1. Pregunta económica</w:t>
      </w:r>
    </w:p>
    <w:p>
      <w:pPr>
        <w:spacing w:after="140" w:line="276"/>
        <w:jc w:val="both"/>
      </w:pPr>
      <w:r>
        <w:rPr>
          <w:rFonts w:ascii="Calibri" w:cs="Calibri" w:eastAsia="Calibri" w:hAnsi="Calibri"/>
          <w:sz w:val="22"/>
          <w:szCs w:val="22"/>
        </w:rPr>
        <w:t xml:space="preserve">¿Qué estructura de datos corresponde a cada uno de los cuatro conjuntos descritos, y por qué importa distinguirlas? El método econométrico válido —por ejemplo, corregir por autocorrelación serial en series de tiempo, o por heterogeneidad no observada en un panel— depende críticamente de esa clasificación.</w:t>
      </w:r>
    </w:p>
    <w:p>
      <w:pPr>
        <w:pStyle w:val="Heading2"/>
        <w:spacing w:after="80" w:before="200"/>
      </w:pPr>
      <w:r>
        <w:rPr>
          <w:b/>
          <w:bCs/>
        </w:rPr>
        <w:t xml:space="preserve">2. Datos</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El ejercicio describe hipotéticamente cuatro conjuntos de datos; alcanza con identificar la unidad de observación y la dimensión temporal declaradas en cada enunciado, sin trabajar sobre una base concreta.</w:t>
      </w:r>
    </w:p>
    <w:p>
      <w:pPr>
        <w:pStyle w:val="Heading2"/>
        <w:spacing w:after="80" w:before="200"/>
      </w:pPr>
      <w:r>
        <w:rPr>
          <w:b/>
          <w:bCs/>
        </w:rPr>
        <w:t xml:space="preserve">3. Especificación</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No hay una ecuación poblacional que especificar, sino una clasificación taxonómica basada en si hay más de un momento del tiempo y, si los hay, si son las mismas unidades en cada uno.</w:t>
      </w:r>
    </w:p>
    <w:p>
      <w:pPr>
        <w:pStyle w:val="Heading2"/>
        <w:spacing w:after="80" w:before="200"/>
      </w:pPr>
      <w:r>
        <w:rPr>
          <w:b/>
          <w:bCs/>
        </w:rPr>
        <w:t xml:space="preserve">4. Estimación</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No hay cálculo ni código: el ejercicio se resuelve por definición conceptual.</w:t>
      </w:r>
    </w:p>
    <w:p>
      <w:pPr>
        <w:pStyle w:val="Heading2"/>
        <w:spacing w:after="80" w:before="200"/>
      </w:pPr>
      <w:r>
        <w:rPr>
          <w:b/>
          <w:bCs/>
        </w:rPr>
        <w:t xml:space="preserve">5. Inferencia</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No hay muestra ni parámetro a contrastar.</w:t>
      </w:r>
    </w:p>
    <w:p>
      <w:pPr>
        <w:pStyle w:val="Heading2"/>
        <w:spacing w:after="80" w:before="200"/>
      </w:pPr>
      <w:r>
        <w:rPr>
          <w:b/>
          <w:bCs/>
        </w:rPr>
        <w:t xml:space="preserve">6. Interpretación económica</w:t>
      </w:r>
    </w:p>
    <w:p>
      <w:pPr>
        <w:spacing w:after="140" w:line="276"/>
        <w:jc w:val="both"/>
      </w:pPr>
      <w:r>
        <w:rPr>
          <w:rFonts w:ascii="Calibri" w:cs="Calibri" w:eastAsia="Calibri" w:hAnsi="Calibri"/>
          <w:b/>
          <w:bCs/>
          <w:sz w:val="22"/>
          <w:szCs w:val="22"/>
        </w:rPr>
        <w:t xml:space="preserve">a) </w:t>
      </w:r>
      <w:r>
        <w:rPr>
          <w:rFonts w:ascii="Calibri" w:cs="Calibri" w:eastAsia="Calibri" w:hAnsi="Calibri"/>
          <w:sz w:val="22"/>
          <w:szCs w:val="22"/>
        </w:rPr>
        <w:t xml:space="preserve">Precio de cierre diario del dólar mayorista, 2015–2025: </w:t>
      </w:r>
      <w:r>
        <w:rPr>
          <w:rFonts w:ascii="Calibri" w:cs="Calibri" w:eastAsia="Calibri" w:hAnsi="Calibri"/>
          <w:i/>
          <w:iCs/>
          <w:sz w:val="22"/>
          <w:szCs w:val="22"/>
        </w:rPr>
        <w:t xml:space="preserve">serie de tiempo</w:t>
      </w:r>
      <w:r>
        <w:rPr>
          <w:rFonts w:ascii="Calibri" w:cs="Calibri" w:eastAsia="Calibri" w:hAnsi="Calibri"/>
          <w:sz w:val="22"/>
          <w:szCs w:val="22"/>
        </w:rPr>
        <w:t xml:space="preserve"> — una sola unidad seguida repetidamente en el tiempo; no hay sección cruzada de unidades distintas en ningún momento.</w:t>
      </w:r>
    </w:p>
    <w:p>
      <w:pPr>
        <w:spacing w:after="140" w:line="276"/>
        <w:jc w:val="both"/>
      </w:pPr>
      <w:r>
        <w:rPr>
          <w:rFonts w:ascii="Calibri" w:cs="Calibri" w:eastAsia="Calibri" w:hAnsi="Calibri"/>
          <w:b/>
          <w:bCs/>
          <w:sz w:val="22"/>
          <w:szCs w:val="22"/>
        </w:rPr>
        <w:t xml:space="preserve">b) </w:t>
      </w:r>
      <w:r>
        <w:rPr>
          <w:rFonts w:ascii="Calibri" w:cs="Calibri" w:eastAsia="Calibri" w:hAnsi="Calibri"/>
          <w:sz w:val="22"/>
          <w:szCs w:val="22"/>
        </w:rPr>
        <w:t xml:space="preserve">Ingreso, edad y educación de 3,000 hogares, EPH 2T-2024: </w:t>
      </w:r>
      <w:r>
        <w:rPr>
          <w:rFonts w:ascii="Calibri" w:cs="Calibri" w:eastAsia="Calibri" w:hAnsi="Calibri"/>
          <w:i/>
          <w:iCs/>
          <w:sz w:val="22"/>
          <w:szCs w:val="22"/>
        </w:rPr>
        <w:t xml:space="preserve">corte transversal</w:t>
      </w:r>
      <w:r>
        <w:rPr>
          <w:rFonts w:ascii="Calibri" w:cs="Calibri" w:eastAsia="Calibri" w:hAnsi="Calibri"/>
          <w:sz w:val="22"/>
          <w:szCs w:val="22"/>
        </w:rPr>
        <w:t xml:space="preserve"> — muchos hogares, un solo momento; no hay dimensión temporal.</w:t>
      </w:r>
    </w:p>
    <w:p>
      <w:pPr>
        <w:spacing w:after="140" w:line="276"/>
        <w:jc w:val="both"/>
      </w:pPr>
      <w:r>
        <w:rPr>
          <w:rFonts w:ascii="Calibri" w:cs="Calibri" w:eastAsia="Calibri" w:hAnsi="Calibri"/>
          <w:b/>
          <w:bCs/>
          <w:sz w:val="22"/>
          <w:szCs w:val="22"/>
        </w:rPr>
        <w:t xml:space="preserve">c) </w:t>
      </w:r>
      <w:r>
        <w:rPr>
          <w:rFonts w:ascii="Calibri" w:cs="Calibri" w:eastAsia="Calibri" w:hAnsi="Calibri"/>
          <w:sz w:val="22"/>
          <w:szCs w:val="22"/>
        </w:rPr>
        <w:t xml:space="preserve">PBI, población y esperanza de vida, 180 países, 1990/2000/2010/2020: </w:t>
      </w:r>
      <w:r>
        <w:rPr>
          <w:rFonts w:ascii="Calibri" w:cs="Calibri" w:eastAsia="Calibri" w:hAnsi="Calibri"/>
          <w:i/>
          <w:iCs/>
          <w:sz w:val="22"/>
          <w:szCs w:val="22"/>
        </w:rPr>
        <w:t xml:space="preserve">panel</w:t>
      </w:r>
      <w:r>
        <w:rPr>
          <w:rFonts w:ascii="Calibri" w:cs="Calibri" w:eastAsia="Calibri" w:hAnsi="Calibri"/>
          <w:sz w:val="22"/>
          <w:szCs w:val="22"/>
        </w:rPr>
        <w:t xml:space="preserve"> — la unidad (el país) se sigue en varios momentos, y en cada uno son las mismas 180 unidades.</w:t>
      </w:r>
    </w:p>
    <w:p>
      <w:pPr>
        <w:spacing w:after="140" w:line="276"/>
        <w:jc w:val="both"/>
      </w:pPr>
      <w:r>
        <w:rPr>
          <w:rFonts w:ascii="Calibri" w:cs="Calibri" w:eastAsia="Calibri" w:hAnsi="Calibri"/>
          <w:b/>
          <w:bCs/>
          <w:sz w:val="22"/>
          <w:szCs w:val="22"/>
        </w:rPr>
        <w:t xml:space="preserve">d) </w:t>
      </w:r>
      <w:r>
        <w:rPr>
          <w:rFonts w:ascii="Calibri" w:cs="Calibri" w:eastAsia="Calibri" w:hAnsi="Calibri"/>
          <w:sz w:val="22"/>
          <w:szCs w:val="22"/>
        </w:rPr>
        <w:t xml:space="preserve">Ventas y empleo, 500 empresas, 2019 y 2023, sin garantía de que sean las mismas: </w:t>
      </w:r>
      <w:r>
        <w:rPr>
          <w:rFonts w:ascii="Calibri" w:cs="Calibri" w:eastAsia="Calibri" w:hAnsi="Calibri"/>
          <w:i/>
          <w:iCs/>
          <w:sz w:val="22"/>
          <w:szCs w:val="22"/>
        </w:rPr>
        <w:t xml:space="preserve">corte transversal combinado</w:t>
      </w:r>
      <w:r>
        <w:rPr>
          <w:rFonts w:ascii="Calibri" w:cs="Calibri" w:eastAsia="Calibri" w:hAnsi="Calibri"/>
          <w:sz w:val="22"/>
          <w:szCs w:val="22"/>
        </w:rPr>
        <w:t xml:space="preserve"> — dos momentos, pero sin seguimiento garantizado de las mismas unidades; esa frase del enunciado es la pista que descarta panel.</w:t>
      </w:r>
    </w:p>
    <w:p>
      <w:pPr>
        <w:pStyle w:val="Heading2"/>
        <w:spacing w:after="80" w:before="200"/>
      </w:pPr>
      <w:r>
        <w:rPr>
          <w:b/>
          <w:bCs/>
        </w:rPr>
        <w:t xml:space="preserve">7. Limitaciones</w:t>
      </w:r>
    </w:p>
    <w:p>
      <w:pPr>
        <w:spacing w:after="140" w:line="276"/>
        <w:jc w:val="both"/>
      </w:pPr>
      <w:r>
        <w:rPr>
          <w:rFonts w:ascii="Calibri" w:cs="Calibri" w:eastAsia="Calibri" w:hAnsi="Calibri"/>
          <w:sz w:val="22"/>
          <w:szCs w:val="22"/>
        </w:rPr>
        <w:t xml:space="preserve">La clasificación por sí sola no garantiza que un método de estimación sea válido: un panel como (c) puede estar desbalanceado y requiere supuestos sobre heterogeneidad no observada entre países; una serie de tiempo como (a) puede no ser estacionaria; y el corte transversal combinado de (d) solo informa sobre cambios agregados en el tiempo, nunca sobre cambios dentro de una misma empresa, precisamente porque no se garantiza que sean las mismas unidades.</w:t>
      </w:r>
    </w:p>
    <w:p>
      <w:pPr>
        <w:pStyle w:val="Heading1"/>
        <w:spacing w:after="120" w:before="360"/>
      </w:pPr>
      <w:r>
        <w:t xml:space="preserve">Ejercicio 1.8 (Wooldridge, problema 1.2 — capacitación y productividad)</w:t>
      </w:r>
    </w:p>
    <w:p>
      <w:pPr>
        <w:spacing w:after="160"/>
        <w:jc w:val="both"/>
      </w:pPr>
      <w:r>
        <w:rPr>
          <w:rFonts w:ascii="Calibri" w:cs="Calibri" w:eastAsia="Calibri" w:hAnsi="Calibri"/>
          <w:i/>
          <w:iCs/>
          <w:color w:val="444444"/>
          <w:sz w:val="20"/>
          <w:szCs w:val="20"/>
        </w:rPr>
        <w:t xml:space="preserve">Consigna: redactar el experimento subyacente al efecto de la capacitación laboral sobre la productividad, evaluar la independencia entre la decisión de capacitar y las características de los trabajadores, nombrar un factor ajeno a los trabajadores que afecte la productividad, y discutir si una correlación positiva entre producción y capacitación establece causalidad.</w:t>
      </w:r>
    </w:p>
    <w:p>
      <w:pPr>
        <w:pStyle w:val="Heading2"/>
        <w:spacing w:after="80" w:before="200"/>
      </w:pPr>
      <w:r>
        <w:rPr>
          <w:b/>
          <w:bCs/>
        </w:rPr>
        <w:t xml:space="preserve">1. Pregunta económica</w:t>
      </w:r>
    </w:p>
    <w:p>
      <w:pPr>
        <w:spacing w:after="140" w:line="276"/>
        <w:jc w:val="both"/>
      </w:pPr>
      <w:r>
        <w:rPr>
          <w:rFonts w:ascii="Calibri" w:cs="Calibri" w:eastAsia="Calibri" w:hAnsi="Calibri"/>
          <w:sz w:val="22"/>
          <w:szCs w:val="22"/>
        </w:rPr>
        <w:t xml:space="preserve">¿La capacitación laboral aumenta la productividad de los trabajadores, y puede esa relación estimarse a partir de la decisión observacional de una empresa de capacitar (o no) a su personal?</w:t>
      </w:r>
    </w:p>
    <w:p>
      <w:pPr>
        <w:pStyle w:val="Heading2"/>
        <w:spacing w:after="80" w:before="200"/>
      </w:pPr>
      <w:r>
        <w:rPr>
          <w:b/>
          <w:bCs/>
        </w:rPr>
        <w:t xml:space="preserve">2. Datos</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Es un problema conceptual (Wooldridge, problema 1.2), no un ejercicio de cómputo; no requiere ninguna base de datos.</w:t>
      </w:r>
    </w:p>
    <w:p>
      <w:pPr>
        <w:pStyle w:val="Heading2"/>
        <w:spacing w:after="80" w:before="200"/>
      </w:pPr>
      <w:r>
        <w:rPr>
          <w:b/>
          <w:bCs/>
        </w:rPr>
        <w:t xml:space="preserve">3. Especificación — el experimento subyacente (parte a)</w:t>
      </w:r>
    </w:p>
    <w:p>
      <w:pPr>
        <w:spacing w:after="140" w:line="276"/>
        <w:jc w:val="both"/>
      </w:pPr>
      <w:r>
        <w:rPr>
          <w:rFonts w:ascii="Calibri" w:cs="Calibri" w:eastAsia="Calibri" w:hAnsi="Calibri"/>
          <w:sz w:val="22"/>
          <w:szCs w:val="22"/>
        </w:rPr>
        <w:t xml:space="preserve">El experimento ideal consiste en observar a los mismos trabajadores (o empresas) en dos estados del mundo idénticos en todo excepto en si reciben capacitación: mismo capital humano, mismo acceso a tecnología y maquinaria, misma calidad de gestión, mismas condiciones de mercado. Se asignaría aleatoriamente a una parte de ellos al programa de capacitación y a la otra no, y se compararía luego su productividad (por ejemplo, producto por hora trabajada) manteniendo todo lo demás constante. La aleatorización es lo que garantiza que “todo lo demás” quede balanceado entre ambos grupos, en promedio, sin necesidad de observarlo ni medirlo.</w:t>
      </w:r>
    </w:p>
    <w:p>
      <w:pPr>
        <w:pStyle w:val="Heading2"/>
        <w:spacing w:after="80" w:before="200"/>
      </w:pPr>
      <w:r>
        <w:rPr>
          <w:b/>
          <w:bCs/>
        </w:rPr>
        <w:t xml:space="preserve">4. Estimación</w:t>
      </w:r>
    </w:p>
    <w:p>
      <w:pPr>
        <w:spacing w:after="140" w:line="276"/>
        <w:jc w:val="both"/>
      </w:pPr>
      <w:r>
        <w:rPr>
          <w:rFonts w:ascii="Calibri" w:cs="Calibri" w:eastAsia="Calibri" w:hAnsi="Calibri"/>
          <w:sz w:val="22"/>
          <w:szCs w:val="22"/>
        </w:rPr>
        <w:t xml:space="preserve">No aplica en sentido estricto: sin datos no hay estimador que calcular. Lo que sí puede señalarse es qué impide construirlo a partir de datos observacionales (parte b): la decisión de una empresa de capacitar rara vez es independiente de las características de sus trabajadores. Dos características medibles que romperían esa independencia: el nivel educativo previo del personal y su antigüedad en el puesto. Dos no medibles: la motivación o habilidad innata de los trabajadores y la calidad de la gestión gerencial de la empresa.</w:t>
      </w:r>
    </w:p>
    <w:p>
      <w:pPr>
        <w:pStyle w:val="Heading2"/>
        <w:spacing w:after="80" w:before="200"/>
      </w:pPr>
      <w:r>
        <w:rPr>
          <w:b/>
          <w:bCs/>
        </w:rPr>
        <w:t xml:space="preserve">5. Inferencia</w:t>
      </w:r>
    </w:p>
    <w:p>
      <w:pPr>
        <w:spacing w:after="140" w:line="276"/>
        <w:jc w:val="both"/>
      </w:pPr>
      <w:r>
        <w:rPr>
          <w:rFonts w:ascii="Calibri" w:cs="Calibri" w:eastAsia="Calibri" w:hAnsi="Calibri"/>
          <w:sz w:val="22"/>
          <w:szCs w:val="22"/>
        </w:rPr>
        <w:t xml:space="preserve">No aplica: </w:t>
      </w:r>
      <w:r>
        <w:rPr>
          <w:rFonts w:ascii="Calibri" w:cs="Calibri" w:eastAsia="Calibri" w:hAnsi="Calibri"/>
          <w:sz w:val="22"/>
          <w:szCs w:val="22"/>
        </w:rPr>
        <w:t xml:space="preserve">No hay una muestra sobre la cual contrastar una hipótesis.</w:t>
      </w:r>
    </w:p>
    <w:p>
      <w:pPr>
        <w:pStyle w:val="Heading2"/>
        <w:spacing w:after="80" w:before="200"/>
      </w:pPr>
      <w:r>
        <w:rPr>
          <w:b/>
          <w:bCs/>
        </w:rPr>
        <w:t xml:space="preserve">6. Interpretación económica</w:t>
      </w:r>
    </w:p>
    <w:p>
      <w:pPr>
        <w:spacing w:after="140" w:line="276"/>
        <w:jc w:val="both"/>
      </w:pPr>
      <w:r>
        <w:rPr>
          <w:rFonts w:ascii="Calibri" w:cs="Calibri" w:eastAsia="Calibri" w:hAnsi="Calibri"/>
          <w:b/>
          <w:bCs/>
          <w:sz w:val="22"/>
          <w:szCs w:val="22"/>
        </w:rPr>
        <w:t xml:space="preserve">c) Un factor ajeno a los trabajadores que afecte la productividad: </w:t>
      </w:r>
      <w:r>
        <w:rPr>
          <w:rFonts w:ascii="Calibri" w:cs="Calibri" w:eastAsia="Calibri" w:hAnsi="Calibri"/>
          <w:sz w:val="22"/>
          <w:szCs w:val="22"/>
        </w:rPr>
        <w:t xml:space="preserve">la calidad del capital físico y la tecnología con la que trabajan (maquinaria, software, organización del proceso productivo). Dos plantas con trabajadores idénticos pueden diferir mucho en productividad simplemente porque una tiene equipamiento más moderno.</w:t>
      </w:r>
    </w:p>
    <w:p>
      <w:pPr>
        <w:pStyle w:val="Heading2"/>
        <w:spacing w:after="80" w:before="200"/>
      </w:pPr>
      <w:r>
        <w:rPr>
          <w:b/>
          <w:bCs/>
        </w:rPr>
        <w:t xml:space="preserve">7. Limitaciones — ¿la correlación establece causalidad? (parte d)</w:t>
      </w:r>
    </w:p>
    <w:p>
      <w:pPr>
        <w:spacing w:after="140" w:line="276"/>
        <w:jc w:val="both"/>
      </w:pPr>
      <w:r>
        <w:rPr>
          <w:rFonts w:ascii="Calibri" w:cs="Calibri" w:eastAsia="Calibri" w:hAnsi="Calibri"/>
          <w:sz w:val="22"/>
          <w:szCs w:val="22"/>
        </w:rPr>
        <w:t xml:space="preserve">No. Es el problema central del capítulo. La correlación positiva entre producción y capacitación es compatible con al menos dos historias no causales: causalidad inversa, donde las empresas más rentables o productivas por otras razones son las que tienen recursos ociosos para capacitar a su personal (la productividad previa genera la capacitación, no al revés); y una variable omitida, la calidad gerencial, que afecta simultáneamente la probabilidad de capacitar y el nivel de productividad, generando la correlación aunque la capacitación en sí no tuviera ningún efecto causal. Para atribuir la diferencia a la capacitación haría falta algo que se aproxime a una asignación aleatoria del tratamiento, o al menos controlar explícitamente por gestión, tecnología y características previas de los trabajadores.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w:cs="Calibri" w:eastAsia="Calibri" w:hAnsi="Calibri"/>
      <w:b/>
      <w:bCs/>
      <w:color w:val="1F3864"/>
      <w:sz w:val="30"/>
      <w:szCs w:val="30"/>
    </w:rPr>
  </w:style>
  <w:style w:type="paragraph" w:styleId="Heading2">
    <w:name w:val="Heading 2"/>
    <w:basedOn w:val="Normal"/>
    <w:next w:val="Normal"/>
    <w:qFormat/>
    <w:pPr>
      <w:spacing w:after="90" w:before="200"/>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2026-08-31T23:39:45.313Z</dcterms:created>
  <dcterms:modified xsi:type="dcterms:W3CDTF">2026-08-31T23:39:45.314Z</dcterms:modified>
</cp:coreProperties>
</file>

<file path=docProps/custom.xml><?xml version="1.0" encoding="utf-8"?>
<Properties xmlns="http://schemas.openxmlformats.org/officeDocument/2006/custom-properties" xmlns:vt="http://schemas.openxmlformats.org/officeDocument/2006/docPropsVTypes"/>
</file>