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E4146F7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  <w:r w:rsidR="007F2FE0">
        <w:rPr>
          <w:lang w:val="ro-RO"/>
        </w:rPr>
        <w:t xml:space="preserve"> – Operator Overloading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03BEF9E6" w14:textId="71C4145C" w:rsidR="007F2FE0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38074" w:history="1">
            <w:r w:rsidR="007F2FE0" w:rsidRPr="00AF678C">
              <w:rPr>
                <w:rStyle w:val="Hyperlink"/>
                <w:noProof/>
                <w:lang w:val="ro-RO"/>
              </w:rPr>
              <w:t>Observații:</w:t>
            </w:r>
            <w:r w:rsidR="007F2FE0">
              <w:rPr>
                <w:noProof/>
                <w:webHidden/>
              </w:rPr>
              <w:tab/>
            </w:r>
            <w:r w:rsidR="007F2FE0">
              <w:rPr>
                <w:noProof/>
                <w:webHidden/>
              </w:rPr>
              <w:fldChar w:fldCharType="begin"/>
            </w:r>
            <w:r w:rsidR="007F2FE0">
              <w:rPr>
                <w:noProof/>
                <w:webHidden/>
              </w:rPr>
              <w:instrText xml:space="preserve"> PAGEREF _Toc466538074 \h </w:instrText>
            </w:r>
            <w:r w:rsidR="007F2FE0">
              <w:rPr>
                <w:noProof/>
                <w:webHidden/>
              </w:rPr>
            </w:r>
            <w:r w:rsidR="007F2FE0">
              <w:rPr>
                <w:noProof/>
                <w:webHidden/>
              </w:rPr>
              <w:fldChar w:fldCharType="separate"/>
            </w:r>
            <w:r w:rsidR="007F2FE0">
              <w:rPr>
                <w:noProof/>
                <w:webHidden/>
              </w:rPr>
              <w:t>1</w:t>
            </w:r>
            <w:r w:rsidR="007F2FE0">
              <w:rPr>
                <w:noProof/>
                <w:webHidden/>
              </w:rPr>
              <w:fldChar w:fldCharType="end"/>
            </w:r>
          </w:hyperlink>
        </w:p>
        <w:p w14:paraId="50858CD9" w14:textId="470CD4C0" w:rsidR="007F2FE0" w:rsidRDefault="007F2F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538075" w:history="1">
            <w:r w:rsidRPr="00AF678C">
              <w:rPr>
                <w:rStyle w:val="Hyperlink"/>
                <w:noProof/>
                <w:lang w:val="ro-RO"/>
              </w:rPr>
              <w:t>Operator=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7D5D6A2B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6538074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r w:rsidR="00696A84" w:rsidRPr="00367798">
        <w:rPr>
          <w:color w:val="FF0000"/>
          <w:lang w:val="ro-RO"/>
        </w:rPr>
        <w:t>binedispune</w:t>
      </w:r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33110F9F" w:rsidR="00A87C98" w:rsidRDefault="007F2FE0" w:rsidP="00FC64A2">
      <w:pPr>
        <w:pStyle w:val="Heading1"/>
        <w:rPr>
          <w:lang w:val="ro-RO"/>
        </w:rPr>
      </w:pPr>
      <w:bookmarkStart w:id="1" w:name="_Toc466538075"/>
      <w:r>
        <w:rPr>
          <w:lang w:val="ro-RO"/>
        </w:rPr>
        <w:t>Operator=</w:t>
      </w:r>
      <w:bookmarkEnd w:id="1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r w:rsidRPr="00D17DD9">
        <w:rPr>
          <w:b/>
        </w:rPr>
        <w:t>nume</w:t>
      </w:r>
      <w:r>
        <w:t xml:space="preserve"> (char*), </w:t>
      </w:r>
      <w:r w:rsidRPr="00D17DD9">
        <w:rPr>
          <w:b/>
        </w:rPr>
        <w:t>varsta</w:t>
      </w:r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r w:rsidRPr="00D17DD9">
        <w:rPr>
          <w:b/>
          <w:lang w:val="ro-RO"/>
        </w:rPr>
        <w:t>nrNote</w:t>
      </w:r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C2F" w14:paraId="7A15DB52" w14:textId="77777777" w:rsidTr="00DA2C2F">
        <w:tc>
          <w:tcPr>
            <w:tcW w:w="10456" w:type="dxa"/>
          </w:tcPr>
          <w:p w14:paraId="07306775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>
              <w:rPr>
                <w:lang w:val="ro-R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void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main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()</w:t>
            </w:r>
          </w:p>
          <w:p w14:paraId="66FDB24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2DADC954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[]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10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9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};</w:t>
            </w:r>
          </w:p>
          <w:p w14:paraId="7F116C6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DA2C2F">
              <w:rPr>
                <w:rFonts w:ascii="Monaco" w:hAnsi="Monaco" w:cs="Monaco"/>
                <w:color w:val="4E9A06"/>
              </w:rPr>
              <w:t>"Nume"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21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5A79E5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157A76A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//Constructor de copiere</w:t>
            </w:r>
          </w:p>
          <w:p w14:paraId="6ABE36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//OMetodaSimpla(s); //apeleaza constructorul de copiere</w:t>
            </w:r>
          </w:p>
          <w:p w14:paraId="1E2F07F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//Student s2 = s; //apeleaza constructorul de copiere</w:t>
            </w:r>
          </w:p>
          <w:p w14:paraId="0D51A497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023F320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DA2C2F">
              <w:rPr>
                <w:rFonts w:ascii="Monaco" w:hAnsi="Monaco" w:cs="Monaco"/>
                <w:color w:val="4E9A06"/>
              </w:rPr>
              <w:t>"Nume2"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4E32C3ED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0C9348D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//Operator=</w:t>
            </w:r>
          </w:p>
          <w:p w14:paraId="095F4A76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//apeleaza operator=</w:t>
            </w:r>
          </w:p>
          <w:p w14:paraId="27B8543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//s2.operator=(s); //echivalent cu s2 = s;</w:t>
            </w:r>
          </w:p>
          <w:p w14:paraId="65841A3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3A9ED31D" w14:textId="31FF04C7" w:rsidR="00DA2C2F" w:rsidRDefault="00DA2C2F" w:rsidP="00F4329C">
            <w:pPr>
              <w:rPr>
                <w:lang w:val="ro-RO"/>
              </w:rPr>
            </w:pPr>
          </w:p>
        </w:tc>
      </w:tr>
    </w:tbl>
    <w:p w14:paraId="3A3561C0" w14:textId="77777777" w:rsidR="004F189C" w:rsidRPr="00F4329C" w:rsidRDefault="004F189C" w:rsidP="00F4329C">
      <w:pPr>
        <w:rPr>
          <w:lang w:val="ro-RO"/>
        </w:rPr>
      </w:pPr>
      <w:bookmarkStart w:id="2" w:name="_GoBack"/>
      <w:bookmarkEnd w:id="2"/>
    </w:p>
    <w:sectPr w:rsidR="004F189C" w:rsidRPr="00F4329C" w:rsidSect="00096969">
      <w:headerReference w:type="default" r:id="rId8"/>
      <w:footerReference w:type="default" r:id="rId9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02097" w14:textId="77777777" w:rsidR="003F661F" w:rsidRDefault="003F661F" w:rsidP="00492EC3">
      <w:pPr>
        <w:spacing w:after="0" w:line="240" w:lineRule="auto"/>
      </w:pPr>
      <w:r>
        <w:separator/>
      </w:r>
    </w:p>
  </w:endnote>
  <w:endnote w:type="continuationSeparator" w:id="0">
    <w:p w14:paraId="77A3EA12" w14:textId="77777777" w:rsidR="003F661F" w:rsidRDefault="003F661F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564FFAF9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F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E4CE8" w14:textId="77777777" w:rsidR="003F661F" w:rsidRDefault="003F661F" w:rsidP="00492EC3">
      <w:pPr>
        <w:spacing w:after="0" w:line="240" w:lineRule="auto"/>
      </w:pPr>
      <w:r>
        <w:separator/>
      </w:r>
    </w:p>
  </w:footnote>
  <w:footnote w:type="continuationSeparator" w:id="0">
    <w:p w14:paraId="02DC9063" w14:textId="77777777" w:rsidR="003F661F" w:rsidRDefault="003F661F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3F661F"/>
    <w:rsid w:val="00414294"/>
    <w:rsid w:val="0044392F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3E6E"/>
    <w:rsid w:val="00514A9D"/>
    <w:rsid w:val="00516D55"/>
    <w:rsid w:val="0053309B"/>
    <w:rsid w:val="00533D30"/>
    <w:rsid w:val="00556869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5462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7F2FE0"/>
    <w:rsid w:val="008458F5"/>
    <w:rsid w:val="0084593E"/>
    <w:rsid w:val="008726D7"/>
    <w:rsid w:val="00897FED"/>
    <w:rsid w:val="008B6650"/>
    <w:rsid w:val="008B7B19"/>
    <w:rsid w:val="008D34B8"/>
    <w:rsid w:val="008D69E3"/>
    <w:rsid w:val="008F120F"/>
    <w:rsid w:val="0095579F"/>
    <w:rsid w:val="009654CF"/>
    <w:rsid w:val="009664BC"/>
    <w:rsid w:val="00972507"/>
    <w:rsid w:val="009A128C"/>
    <w:rsid w:val="009B458A"/>
    <w:rsid w:val="009B493E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F79DB"/>
    <w:rsid w:val="00B04CF8"/>
    <w:rsid w:val="00B25F6E"/>
    <w:rsid w:val="00B261C0"/>
    <w:rsid w:val="00B26F6A"/>
    <w:rsid w:val="00B3336D"/>
    <w:rsid w:val="00B62854"/>
    <w:rsid w:val="00B659A4"/>
    <w:rsid w:val="00BB15EE"/>
    <w:rsid w:val="00C0117D"/>
    <w:rsid w:val="00C06C5A"/>
    <w:rsid w:val="00C22819"/>
    <w:rsid w:val="00C31691"/>
    <w:rsid w:val="00C46A87"/>
    <w:rsid w:val="00C5252C"/>
    <w:rsid w:val="00C60969"/>
    <w:rsid w:val="00C63E5A"/>
    <w:rsid w:val="00C8468A"/>
    <w:rsid w:val="00C91945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E5DA2"/>
    <w:rsid w:val="00DE667A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E57"/>
    <w:rsid w:val="00EC6655"/>
    <w:rsid w:val="00EE1820"/>
    <w:rsid w:val="00EF6862"/>
    <w:rsid w:val="00F32AB7"/>
    <w:rsid w:val="00F4329C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49CA-0E95-4638-BE7B-D85D8422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4380871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185</cp:revision>
  <cp:lastPrinted>2016-11-02T18:26:00Z</cp:lastPrinted>
  <dcterms:created xsi:type="dcterms:W3CDTF">2004-06-22T15:04:00Z</dcterms:created>
  <dcterms:modified xsi:type="dcterms:W3CDTF">2016-11-10T08:50:00Z</dcterms:modified>
</cp:coreProperties>
</file>