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75"/>
        <w:gridCol w:w="7824"/>
      </w:tblGrid>
      <w:tr>
        <w:trPr>
          <w:cantSplit/>
        </w:trPr>
        <w:tc>
          <w:tcPr>
            <w:tcW w:type="dxa" w:w="3175"/>
            <w:vAlign w:val="top"/>
            <w:tcMar>
              <w:top w:w="110" w:type="dxa"/>
              <w:start w:w="125" w:type="dxa"/>
              <w:bottom w:w="100" w:type="dxa"/>
              <w:end w:w="125" w:type="dxa"/>
            </w:tcMar>
            <w:shd w:fill="3B7391"/>
          </w:tcPr>
          <w:p>
            <w:pPr>
              <w:keepLines w:val="0"/>
              <w:spacing w:before="0" w:after="4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32000" cy="17748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shot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32000" cy="1774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Lines/>
              <w:spacing w:before="100" w:after="50" w:line="240" w:lineRule="auto"/>
              <w:pBdr>
                <w:bottom w:val="single" w:sz="5" w:space="2" w:color="DDEBF2"/>
              </w:pBdr>
            </w:pPr>
            <w:r>
              <w:rPr>
                <w:rFonts w:ascii="Calibri" w:hAnsi="Calibri" w:eastAsia="微软雅黑"/>
                <w:b/>
                <w:color w:val="DDEBF2"/>
                <w:sz w:val="18"/>
              </w:rPr>
              <w:t>教育背景</w:t>
            </w:r>
          </w:p>
          <w:p>
            <w:pPr>
              <w:keepLines/>
              <w:spacing w:before="0" w:after="20" w:line="259" w:lineRule="auto"/>
            </w:pPr>
            <w:r>
              <w:rPr>
                <w:rFonts w:ascii="Calibri" w:hAnsi="Calibri" w:eastAsia="微软雅黑"/>
                <w:b/>
                <w:color w:val="FFFFFF"/>
                <w:sz w:val="18"/>
              </w:rPr>
              <w:t>北京理工大学</w:t>
            </w:r>
          </w:p>
          <w:p>
            <w:pPr>
              <w:keepLines/>
              <w:spacing w:before="0" w:after="20" w:line="259" w:lineRule="auto"/>
            </w:pPr>
            <w:r>
              <w:rPr>
                <w:rFonts w:ascii="Calibri" w:hAnsi="Calibri" w:eastAsia="微软雅黑"/>
                <w:b w:val="0"/>
                <w:color w:val="FFFFFF"/>
                <w:sz w:val="15"/>
              </w:rPr>
              <w:t>信息与电子学院 · 电子信息工程</w:t>
            </w:r>
          </w:p>
          <w:p>
            <w:pPr>
              <w:keepLines/>
              <w:spacing w:before="0" w:after="24" w:line="259" w:lineRule="auto"/>
            </w:pPr>
            <w:r>
              <w:rPr>
                <w:rFonts w:ascii="Calibri" w:hAnsi="Calibri" w:eastAsia="微软雅黑"/>
                <w:b w:val="0"/>
                <w:color w:val="DDEBF2"/>
                <w:sz w:val="15"/>
              </w:rPr>
              <w:t>本科在读  |  2025.09—至今</w:t>
            </w:r>
          </w:p>
          <w:p>
            <w:pPr>
              <w:keepLines/>
              <w:spacing w:before="0" w:after="20" w:line="259" w:lineRule="auto"/>
            </w:pPr>
            <w:r>
              <w:rPr>
                <w:rFonts w:ascii="Calibri" w:hAnsi="Calibri" w:eastAsia="微软雅黑"/>
                <w:b/>
                <w:color w:val="FFFFFF"/>
                <w:sz w:val="16"/>
              </w:rPr>
              <w:t>学年纯成绩排名  2 / 230</w:t>
            </w:r>
          </w:p>
          <w:p>
            <w:pPr>
              <w:keepLines/>
              <w:spacing w:before="0" w:after="20" w:line="259" w:lineRule="auto"/>
            </w:pPr>
            <w:r>
              <w:rPr>
                <w:rFonts w:ascii="Calibri" w:hAnsi="Calibri" w:eastAsia="微软雅黑"/>
                <w:b/>
                <w:color w:val="FFFFFF"/>
                <w:sz w:val="16"/>
              </w:rPr>
              <w:t>综合测评排名  1 / 230</w:t>
            </w:r>
          </w:p>
          <w:p>
            <w:pPr>
              <w:keepLines/>
              <w:spacing w:before="0" w:after="20" w:line="259" w:lineRule="auto"/>
            </w:pPr>
            <w:r>
              <w:rPr>
                <w:rFonts w:ascii="Calibri" w:hAnsi="Calibri" w:eastAsia="微软雅黑"/>
                <w:b w:val="0"/>
                <w:color w:val="FFFFFF"/>
                <w:sz w:val="16"/>
              </w:rPr>
              <w:t>CET-4  613</w:t>
            </w:r>
          </w:p>
          <w:p>
            <w:pPr>
              <w:keepLines/>
              <w:spacing w:before="100" w:after="50" w:line="240" w:lineRule="auto"/>
              <w:pBdr>
                <w:bottom w:val="single" w:sz="5" w:space="2" w:color="DDEBF2"/>
              </w:pBdr>
            </w:pPr>
            <w:r>
              <w:rPr>
                <w:rFonts w:ascii="Calibri" w:hAnsi="Calibri" w:eastAsia="微软雅黑"/>
                <w:b/>
                <w:color w:val="DDEBF2"/>
                <w:sz w:val="18"/>
              </w:rPr>
              <w:t>研究兴趣</w:t>
            </w:r>
          </w:p>
          <w:p>
            <w:pPr>
              <w:keepLines/>
              <w:spacing w:before="0" w:after="20" w:line="259" w:lineRule="auto"/>
            </w:pPr>
            <w:r>
              <w:rPr>
                <w:rFonts w:ascii="Calibri" w:hAnsi="Calibri" w:eastAsia="微软雅黑"/>
                <w:b/>
                <w:color w:val="FFFFFF"/>
                <w:sz w:val="16"/>
              </w:rPr>
              <w:t>具身智能 · 灵巧操作</w:t>
            </w:r>
          </w:p>
          <w:p>
            <w:pPr>
              <w:keepLines/>
              <w:spacing w:before="0" w:after="20" w:line="259" w:lineRule="auto"/>
            </w:pPr>
            <w:r>
              <w:rPr>
                <w:rFonts w:ascii="Calibri" w:hAnsi="Calibri" w:eastAsia="微软雅黑"/>
                <w:b w:val="0"/>
                <w:color w:val="FFFFFF"/>
                <w:sz w:val="15"/>
              </w:rPr>
              <w:t>机器人运动重定向与学习</w:t>
            </w:r>
          </w:p>
          <w:p>
            <w:pPr>
              <w:keepLines/>
              <w:spacing w:before="0" w:after="20" w:line="259" w:lineRule="auto"/>
            </w:pPr>
            <w:r>
              <w:rPr>
                <w:rFonts w:ascii="Calibri" w:hAnsi="Calibri" w:eastAsia="微软雅黑"/>
                <w:b w:val="0"/>
                <w:color w:val="FFFFFF"/>
                <w:sz w:val="15"/>
              </w:rPr>
              <w:t>可穿戴感知与人机交互</w:t>
            </w:r>
          </w:p>
          <w:p>
            <w:pPr>
              <w:keepLines/>
              <w:spacing w:before="100" w:after="50" w:line="240" w:lineRule="auto"/>
              <w:pBdr>
                <w:bottom w:val="single" w:sz="5" w:space="2" w:color="DDEBF2"/>
              </w:pBdr>
            </w:pPr>
            <w:r>
              <w:rPr>
                <w:rFonts w:ascii="Calibri" w:hAnsi="Calibri" w:eastAsia="微软雅黑"/>
                <w:b/>
                <w:color w:val="DDEBF2"/>
                <w:sz w:val="18"/>
              </w:rPr>
              <w:t>技术能力</w:t>
            </w:r>
          </w:p>
          <w:p>
            <w:pPr>
              <w:keepLines/>
              <w:spacing w:before="0" w:after="24" w:line="259" w:lineRule="auto"/>
            </w:pPr>
            <w:r>
              <w:rPr>
                <w:rFonts w:ascii="Calibri" w:hAnsi="Calibri" w:eastAsia="微软雅黑"/>
                <w:b w:val="0"/>
                <w:color w:val="FFFFFF"/>
                <w:sz w:val="15"/>
              </w:rPr>
              <w:t>编程  Python · C/C++ · Arduino</w:t>
            </w:r>
          </w:p>
          <w:p>
            <w:pPr>
              <w:keepLines/>
              <w:spacing w:before="0" w:after="24" w:line="259" w:lineRule="auto"/>
            </w:pPr>
            <w:r>
              <w:rPr>
                <w:rFonts w:ascii="Calibri" w:hAnsi="Calibri" w:eastAsia="微软雅黑"/>
                <w:b w:val="0"/>
                <w:color w:val="FFFFFF"/>
                <w:sz w:val="15"/>
              </w:rPr>
              <w:t>计算  NumPy · SciPy · scikit-learn</w:t>
            </w:r>
          </w:p>
          <w:p>
            <w:pPr>
              <w:keepLines/>
              <w:spacing w:before="0" w:after="24" w:line="259" w:lineRule="auto"/>
            </w:pPr>
            <w:r>
              <w:rPr>
                <w:rFonts w:ascii="Calibri" w:hAnsi="Calibri" w:eastAsia="微软雅黑"/>
                <w:b w:val="0"/>
                <w:color w:val="FFFFFF"/>
                <w:sz w:val="15"/>
              </w:rPr>
              <w:t>机器人  正逆运动学 · 约束优化</w:t>
            </w:r>
          </w:p>
          <w:p>
            <w:pPr>
              <w:keepLines/>
              <w:spacing w:before="0" w:after="24" w:line="259" w:lineRule="auto"/>
            </w:pPr>
            <w:r>
              <w:rPr>
                <w:rFonts w:ascii="Calibri" w:hAnsi="Calibri" w:eastAsia="微软雅黑"/>
                <w:b w:val="0"/>
                <w:color w:val="FFFFFF"/>
                <w:sz w:val="15"/>
              </w:rPr>
              <w:t>系统  BLE · Git · Linux · MuJoCo</w:t>
            </w:r>
          </w:p>
          <w:p>
            <w:pPr>
              <w:keepLines/>
              <w:spacing w:before="100" w:after="50" w:line="240" w:lineRule="auto"/>
              <w:pBdr>
                <w:bottom w:val="single" w:sz="5" w:space="2" w:color="DDEBF2"/>
              </w:pBdr>
            </w:pPr>
            <w:r>
              <w:rPr>
                <w:rFonts w:ascii="Calibri" w:hAnsi="Calibri" w:eastAsia="微软雅黑"/>
                <w:b/>
                <w:color w:val="DDEBF2"/>
                <w:sz w:val="18"/>
              </w:rPr>
              <w:t>联系与作品</w:t>
            </w:r>
          </w:p>
          <w:p>
            <w:pPr>
              <w:keepLines/>
              <w:spacing w:before="0" w:after="28" w:line="259" w:lineRule="auto"/>
            </w:pPr>
            <w:r>
              <w:rPr>
                <w:rFonts w:ascii="Calibri" w:hAnsi="Calibri" w:eastAsia="微软雅黑"/>
                <w:b w:val="0"/>
                <w:color w:val="FFFFFF"/>
                <w:sz w:val="14"/>
              </w:rPr>
              <w:t>chenxuwang.chn@outlook.com</w:t>
            </w:r>
          </w:p>
          <w:p>
            <w:pPr>
              <w:keepLines/>
              <w:spacing w:before="0" w:after="28" w:line="259" w:lineRule="auto"/>
            </w:pPr>
            <w:r>
              <w:rPr>
                <w:rFonts w:ascii="Calibri" w:hAnsi="Calibri" w:eastAsia="微软雅黑"/>
                <w:b w:val="0"/>
                <w:color w:val="FFFFFF"/>
                <w:sz w:val="15"/>
              </w:rPr>
              <w:t>lucianwangchn.github.io</w:t>
            </w:r>
          </w:p>
          <w:p>
            <w:pPr>
              <w:keepLines/>
              <w:spacing w:before="0" w:after="8" w:line="259" w:lineRule="auto"/>
            </w:pPr>
            <w:r>
              <w:rPr>
                <w:rFonts w:ascii="Calibri" w:hAnsi="Calibri" w:eastAsia="微软雅黑"/>
                <w:b w:val="0"/>
                <w:color w:val="DDEBF2"/>
                <w:sz w:val="14"/>
              </w:rPr>
              <w:t>github.com/LucianWangChn</w:t>
            </w:r>
          </w:p>
        </w:tc>
        <w:tc>
          <w:tcPr>
            <w:tcW w:type="dxa" w:w="7824"/>
            <w:vAlign w:val="top"/>
            <w:tcMar>
              <w:top w:w="70" w:type="dxa"/>
              <w:start w:w="210" w:type="dxa"/>
              <w:bottom w:w="70" w:type="dxa"/>
              <w:end w:w="90" w:type="dxa"/>
            </w:tcMar>
          </w:tcPr>
          <w:p>
            <w:pPr>
              <w:keepLines/>
              <w:spacing w:before="20" w:after="10" w:line="240" w:lineRule="auto"/>
            </w:pPr>
            <w:r>
              <w:rPr>
                <w:rFonts w:ascii="Calibri" w:hAnsi="Calibri" w:eastAsia="微软雅黑"/>
                <w:b/>
                <w:color w:val="173B52"/>
                <w:sz w:val="46"/>
              </w:rPr>
              <w:t>王晨旭</w:t>
            </w:r>
            <w:r>
              <w:rPr>
                <w:rFonts w:ascii="Calibri" w:hAnsi="Calibri" w:eastAsia="Calibri"/>
                <w:b w:val="0"/>
                <w:color w:val="5B6870"/>
                <w:sz w:val="18"/>
              </w:rPr>
              <w:t xml:space="preserve">  CHENXU WANG</w:t>
            </w:r>
          </w:p>
          <w:p>
            <w:pPr>
              <w:keepLines/>
              <w:spacing w:before="0" w:after="46" w:line="240" w:lineRule="auto"/>
            </w:pPr>
            <w:r>
              <w:rPr>
                <w:rFonts w:ascii="Calibri" w:hAnsi="Calibri" w:eastAsia="微软雅黑"/>
                <w:b/>
                <w:color w:val="3B7391"/>
                <w:sz w:val="18"/>
              </w:rPr>
              <w:t>北京理工大学 · 电子信息工程本科生</w:t>
            </w:r>
          </w:p>
          <w:p>
            <w:pPr>
              <w:keepLines/>
              <w:spacing w:before="0" w:after="60" w:line="259" w:lineRule="auto"/>
            </w:pPr>
            <w:r>
              <w:rPr>
                <w:rFonts w:ascii="Calibri" w:hAnsi="Calibri" w:eastAsia="微软雅黑"/>
                <w:b w:val="0"/>
                <w:color w:val="202B31"/>
                <w:sz w:val="17"/>
              </w:rPr>
              <w:t>关注具身智能、灵巧操作与机器人学习，围绕异构手部运动映射和可穿戴感知开展运动学建模、传感采集与软硬件集成；注重量化评估、误差分析与实物联调。</w:t>
            </w:r>
          </w:p>
          <w:p>
            <w:pPr>
              <w:keepLines/>
              <w:spacing w:before="84" w:after="56" w:line="240" w:lineRule="auto"/>
              <w:pBdr>
                <w:bottom w:val="single" w:sz="8" w:space="2" w:color="78A6BC"/>
              </w:pBdr>
            </w:pPr>
            <w:r>
              <w:rPr>
                <w:rFonts w:ascii="Calibri" w:hAnsi="Calibri" w:eastAsia="微软雅黑"/>
                <w:b/>
                <w:color w:val="173B52"/>
                <w:sz w:val="20"/>
              </w:rPr>
              <w:t>研究与项目经历</w:t>
            </w:r>
          </w:p>
          <w:tbl>
            <w:tblPr>
              <w:tblW w:type="auto" w:w="0"/>
              <w:jc w:val="left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5953"/>
              <w:gridCol w:w="1644"/>
            </w:tblGrid>
            <w:tr>
              <w:tc>
                <w:tcPr>
                  <w:tcW w:type="dxa" w:w="5953"/>
                  <w:tcMar>
                    <w:top w:w="0" w:type="dxa"/>
                    <w:start w:w="0" w:type="dxa"/>
                    <w:bottom w:w="0" w:type="dxa"/>
                    <w:end w:w="0" w:type="dxa"/>
                  </w:tcMar>
                  <w:vAlign w:val="center"/>
                </w:tcPr>
                <w:p>
                  <w:pPr>
                    <w:keepLines/>
                    <w:spacing w:before="0" w:after="8" w:line="240" w:lineRule="auto"/>
                  </w:pPr>
                  <w:r>
                    <w:rPr>
                      <w:rFonts w:ascii="Calibri" w:hAnsi="Calibri" w:eastAsia="微软雅黑"/>
                      <w:b/>
                      <w:color w:val="202B31"/>
                      <w:sz w:val="18"/>
                    </w:rPr>
                    <w:t>灵巧手异构运动重定向  DOGlove × ORCA</w:t>
                  </w:r>
                  <w:r>
                    <w:rPr>
                      <w:rFonts w:ascii="Calibri" w:hAnsi="Calibri" w:eastAsia="微软雅黑"/>
                      <w:b w:val="0"/>
                      <w:color w:val="3B7391"/>
                      <w:sz w:val="15"/>
                    </w:rPr>
                    <w:t xml:space="preserve">  |  运动学建模与算法实践</w:t>
                  </w:r>
                </w:p>
              </w:tc>
              <w:tc>
                <w:tcPr>
                  <w:tcW w:type="dxa" w:w="1644"/>
                  <w:tcMar>
                    <w:top w:w="0" w:type="dxa"/>
                    <w:start w:w="0" w:type="dxa"/>
                    <w:bottom w:w="0" w:type="dxa"/>
                    <w:end w:w="0" w:type="dxa"/>
                  </w:tcMar>
                  <w:vAlign w:val="center"/>
                </w:tcPr>
                <w:p>
                  <w:pPr>
                    <w:keepLines/>
                    <w:spacing w:before="0" w:after="8" w:line="240" w:lineRule="auto"/>
                    <w:jc w:val="right"/>
                  </w:pPr>
                  <w:r>
                    <w:rPr>
                      <w:rFonts w:ascii="Calibri" w:hAnsi="Calibri" w:eastAsia="微软雅黑"/>
                      <w:b w:val="0"/>
                      <w:color w:val="5B6870"/>
                      <w:sz w:val="15"/>
                    </w:rPr>
                    <w:t>2026—至今</w:t>
                  </w:r>
                </w:p>
              </w:tc>
            </w:tr>
          </w:tbl>
          <w:p/>
          <w:p>
            <w:pPr>
              <w:keepLines/>
              <w:spacing w:before="0" w:after="20" w:line="264" w:lineRule="auto"/>
            </w:pPr>
            <w:r>
              <w:rPr>
                <w:rFonts w:ascii="Calibri" w:hAnsi="Calibri" w:eastAsia="微软雅黑"/>
                <w:b w:val="0"/>
                <w:color w:val="202B31"/>
                <w:sz w:val="17"/>
              </w:rPr>
              <w:t>方法与贡献｜针对佩戴零位和手部构型差异，建立平手标定与逐指掌坐标映射；采用受关节范围约束的指尖逆运动学，并在零空间中加入弱姿态偏好。</w:t>
            </w:r>
          </w:p>
          <w:p>
            <w:pPr>
              <w:keepLines/>
              <w:spacing w:before="0" w:after="80" w:line="264" w:lineRule="auto"/>
            </w:pPr>
            <w:r>
              <w:rPr>
                <w:rFonts w:ascii="Calibri" w:hAnsi="Calibri" w:eastAsia="微软雅黑"/>
                <w:b w:val="0"/>
                <w:color w:val="5B6870"/>
                <w:sz w:val="17"/>
              </w:rPr>
              <w:t>成果｜整理 223 条姿态记录并开展离线保留测试，参考关节 RMSE 由 23.56° 降至 23.20°。</w:t>
            </w:r>
          </w:p>
          <w:tbl>
            <w:tblPr>
              <w:tblW w:type="auto" w:w="0"/>
              <w:jc w:val="left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5953"/>
              <w:gridCol w:w="1644"/>
            </w:tblGrid>
            <w:tr>
              <w:tc>
                <w:tcPr>
                  <w:tcW w:type="dxa" w:w="5953"/>
                  <w:tcMar>
                    <w:top w:w="0" w:type="dxa"/>
                    <w:start w:w="0" w:type="dxa"/>
                    <w:bottom w:w="0" w:type="dxa"/>
                    <w:end w:w="0" w:type="dxa"/>
                  </w:tcMar>
                  <w:vAlign w:val="center"/>
                </w:tcPr>
                <w:p>
                  <w:pPr>
                    <w:keepLines/>
                    <w:spacing w:before="0" w:after="8" w:line="240" w:lineRule="auto"/>
                  </w:pPr>
                  <w:r>
                    <w:rPr>
                      <w:rFonts w:ascii="Calibri" w:hAnsi="Calibri" w:eastAsia="微软雅黑"/>
                      <w:b/>
                      <w:color w:val="202B31"/>
                      <w:sz w:val="18"/>
                    </w:rPr>
                    <w:t>SIGNSPEAK 多模态情感转译手语手套</w:t>
                  </w:r>
                  <w:r>
                    <w:rPr>
                      <w:rFonts w:ascii="Calibri" w:hAnsi="Calibri" w:eastAsia="微软雅黑"/>
                      <w:b w:val="0"/>
                      <w:color w:val="3B7391"/>
                      <w:sz w:val="15"/>
                    </w:rPr>
                    <w:t xml:space="preserve">  |  主要研发</w:t>
                  </w:r>
                </w:p>
              </w:tc>
              <w:tc>
                <w:tcPr>
                  <w:tcW w:type="dxa" w:w="1644"/>
                  <w:tcMar>
                    <w:top w:w="0" w:type="dxa"/>
                    <w:start w:w="0" w:type="dxa"/>
                    <w:bottom w:w="0" w:type="dxa"/>
                    <w:end w:w="0" w:type="dxa"/>
                  </w:tcMar>
                  <w:vAlign w:val="center"/>
                </w:tcPr>
                <w:p>
                  <w:pPr>
                    <w:keepLines/>
                    <w:spacing w:before="0" w:after="8" w:line="240" w:lineRule="auto"/>
                    <w:jc w:val="right"/>
                  </w:pPr>
                  <w:r>
                    <w:rPr>
                      <w:rFonts w:ascii="Calibri" w:hAnsi="Calibri" w:eastAsia="微软雅黑"/>
                      <w:b w:val="0"/>
                      <w:color w:val="5B6870"/>
                      <w:sz w:val="15"/>
                    </w:rPr>
                  </w:r>
                </w:p>
              </w:tc>
            </w:tr>
          </w:tbl>
          <w:p/>
          <w:p>
            <w:pPr>
              <w:keepLines/>
              <w:spacing w:before="0" w:after="20" w:line="264" w:lineRule="auto"/>
            </w:pPr>
            <w:r>
              <w:rPr>
                <w:rFonts w:ascii="Calibri" w:hAnsi="Calibri" w:eastAsia="微软雅黑"/>
                <w:b w:val="0"/>
                <w:color w:val="202B31"/>
                <w:sz w:val="17"/>
              </w:rPr>
              <w:t>方法与贡献｜除三维建模与 PPT 外，基本独立完成方案、硬件、Arduino 固件和 Python 程序；实现 BLE 传感采集与随机森林手势识别，集成 Wav2Vec2 声学分析、ASR/LLM 语义分析及显示和振动反馈。</w:t>
            </w:r>
          </w:p>
          <w:p>
            <w:pPr>
              <w:keepLines/>
              <w:spacing w:before="0" w:after="80" w:line="264" w:lineRule="auto"/>
            </w:pPr>
            <w:r>
              <w:rPr>
                <w:rFonts w:ascii="Calibri" w:hAnsi="Calibri" w:eastAsia="微软雅黑"/>
                <w:b w:val="0"/>
                <w:color w:val="5B6870"/>
                <w:sz w:val="17"/>
              </w:rPr>
              <w:t>成果｜完成可穿戴原型及手势采集—训练—预测流程，集成声学、语义和触觉反馈。</w:t>
            </w:r>
          </w:p>
          <w:tbl>
            <w:tblPr>
              <w:tblW w:type="auto" w:w="0"/>
              <w:jc w:val="left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5953"/>
              <w:gridCol w:w="1644"/>
            </w:tblGrid>
            <w:tr>
              <w:tc>
                <w:tcPr>
                  <w:tcW w:type="dxa" w:w="5953"/>
                  <w:tcMar>
                    <w:top w:w="0" w:type="dxa"/>
                    <w:start w:w="0" w:type="dxa"/>
                    <w:bottom w:w="0" w:type="dxa"/>
                    <w:end w:w="0" w:type="dxa"/>
                  </w:tcMar>
                  <w:vAlign w:val="center"/>
                </w:tcPr>
                <w:p>
                  <w:pPr>
                    <w:keepLines/>
                    <w:spacing w:before="0" w:after="8" w:line="240" w:lineRule="auto"/>
                  </w:pPr>
                  <w:r>
                    <w:rPr>
                      <w:rFonts w:ascii="Calibri" w:hAnsi="Calibri" w:eastAsia="微软雅黑"/>
                      <w:b/>
                      <w:color w:val="202B31"/>
                      <w:sz w:val="18"/>
                    </w:rPr>
                    <w:t>星居 AI 端云协同智慧空间</w:t>
                  </w:r>
                  <w:r>
                    <w:rPr>
                      <w:rFonts w:ascii="Calibri" w:hAnsi="Calibri" w:eastAsia="微软雅黑"/>
                      <w:b w:val="0"/>
                      <w:color w:val="3B7391"/>
                      <w:sz w:val="15"/>
                    </w:rPr>
                    <w:t xml:space="preserve">  |  项目负责人</w:t>
                  </w:r>
                </w:p>
              </w:tc>
              <w:tc>
                <w:tcPr>
                  <w:tcW w:type="dxa" w:w="1644"/>
                  <w:tcMar>
                    <w:top w:w="0" w:type="dxa"/>
                    <w:start w:w="0" w:type="dxa"/>
                    <w:bottom w:w="0" w:type="dxa"/>
                    <w:end w:w="0" w:type="dxa"/>
                  </w:tcMar>
                  <w:vAlign w:val="center"/>
                </w:tcPr>
                <w:p>
                  <w:pPr>
                    <w:keepLines/>
                    <w:spacing w:before="0" w:after="8" w:line="240" w:lineRule="auto"/>
                    <w:jc w:val="right"/>
                  </w:pPr>
                  <w:r>
                    <w:rPr>
                      <w:rFonts w:ascii="Calibri" w:hAnsi="Calibri" w:eastAsia="微软雅黑"/>
                      <w:b w:val="0"/>
                      <w:color w:val="5B6870"/>
                      <w:sz w:val="15"/>
                    </w:rPr>
                  </w:r>
                </w:p>
              </w:tc>
            </w:tr>
          </w:tbl>
          <w:p/>
          <w:p>
            <w:pPr>
              <w:keepLines/>
              <w:spacing w:before="0" w:after="20" w:line="264" w:lineRule="auto"/>
            </w:pPr>
            <w:r>
              <w:rPr>
                <w:rFonts w:ascii="Calibri" w:hAnsi="Calibri" w:eastAsia="微软雅黑"/>
                <w:b w:val="0"/>
                <w:color w:val="202B31"/>
                <w:sz w:val="17"/>
              </w:rPr>
              <w:t>方法与贡献｜负责桌面智能体、状态与偏好记忆及决策逻辑；连接华为云 IoTDA 与实体设备，整合命令解释、动作派发和状态回读，推进端云系统联调。</w:t>
            </w:r>
          </w:p>
          <w:p>
            <w:pPr>
              <w:keepLines/>
              <w:spacing w:before="0" w:after="80" w:line="264" w:lineRule="auto"/>
            </w:pPr>
            <w:r>
              <w:rPr>
                <w:rFonts w:ascii="Calibri" w:hAnsi="Calibri" w:eastAsia="微软雅黑"/>
                <w:b w:val="0"/>
                <w:color w:val="5B6870"/>
                <w:sz w:val="17"/>
              </w:rPr>
              <w:t>成果｜完成端云设备联调与演示；当前正备战国创赛省赛金奖争夺赛。</w:t>
            </w:r>
          </w:p>
          <w:tbl>
            <w:tblPr>
              <w:tblW w:type="auto" w:w="0"/>
              <w:jc w:val="left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5953"/>
              <w:gridCol w:w="1644"/>
            </w:tblGrid>
            <w:tr>
              <w:tc>
                <w:tcPr>
                  <w:tcW w:type="dxa" w:w="5953"/>
                  <w:tcMar>
                    <w:top w:w="0" w:type="dxa"/>
                    <w:start w:w="0" w:type="dxa"/>
                    <w:bottom w:w="0" w:type="dxa"/>
                    <w:end w:w="0" w:type="dxa"/>
                  </w:tcMar>
                  <w:vAlign w:val="center"/>
                </w:tcPr>
                <w:p>
                  <w:pPr>
                    <w:keepLines/>
                    <w:spacing w:before="0" w:after="8" w:line="240" w:lineRule="auto"/>
                  </w:pPr>
                  <w:r>
                    <w:rPr>
                      <w:rFonts w:ascii="Calibri" w:hAnsi="Calibri" w:eastAsia="微软雅黑"/>
                      <w:b/>
                      <w:color w:val="202B31"/>
                      <w:sz w:val="18"/>
                    </w:rPr>
                    <w:t>机器人与智能车工程实践</w:t>
                  </w:r>
                  <w:r>
                    <w:rPr>
                      <w:rFonts w:ascii="Calibri" w:hAnsi="Calibri" w:eastAsia="微软雅黑"/>
                      <w:b w:val="0"/>
                      <w:color w:val="3B7391"/>
                      <w:sz w:val="15"/>
                    </w:rPr>
                    <w:t xml:space="preserve">  |  屠龙队长 · 校机器人队</w:t>
                  </w:r>
                </w:p>
              </w:tc>
              <w:tc>
                <w:tcPr>
                  <w:tcW w:type="dxa" w:w="1644"/>
                  <w:tcMar>
                    <w:top w:w="0" w:type="dxa"/>
                    <w:start w:w="0" w:type="dxa"/>
                    <w:bottom w:w="0" w:type="dxa"/>
                    <w:end w:w="0" w:type="dxa"/>
                  </w:tcMar>
                  <w:vAlign w:val="center"/>
                </w:tcPr>
                <w:p>
                  <w:pPr>
                    <w:keepLines/>
                    <w:spacing w:before="0" w:after="8" w:line="240" w:lineRule="auto"/>
                    <w:jc w:val="right"/>
                  </w:pPr>
                  <w:r>
                    <w:rPr>
                      <w:rFonts w:ascii="Calibri" w:hAnsi="Calibri" w:eastAsia="微软雅黑"/>
                      <w:b w:val="0"/>
                      <w:color w:val="5B6870"/>
                      <w:sz w:val="15"/>
                    </w:rPr>
                    <w:t>2025—2026</w:t>
                  </w:r>
                </w:p>
              </w:tc>
            </w:tr>
          </w:tbl>
          <w:p/>
          <w:p>
            <w:pPr>
              <w:keepLines/>
              <w:spacing w:before="0" w:after="20" w:line="264" w:lineRule="auto"/>
            </w:pPr>
            <w:r>
              <w:rPr>
                <w:rFonts w:ascii="Calibri" w:hAnsi="Calibri" w:eastAsia="微软雅黑"/>
                <w:b w:val="0"/>
                <w:color w:val="202B31"/>
                <w:sz w:val="17"/>
              </w:rPr>
              <w:t>方法与贡献｜担任屠龙队队长，参与底盘与传感器搭建、电机接入、嵌入式固件调试及赛道测试，组织多轮软硬件联调。</w:t>
            </w:r>
          </w:p>
          <w:p>
            <w:pPr>
              <w:keepLines/>
              <w:spacing w:before="0" w:after="80" w:line="264" w:lineRule="auto"/>
            </w:pPr>
            <w:r>
              <w:rPr>
                <w:rFonts w:ascii="Calibri" w:hAnsi="Calibri" w:eastAsia="微软雅黑"/>
                <w:b w:val="0"/>
                <w:color w:val="5B6870"/>
                <w:sz w:val="17"/>
              </w:rPr>
              <w:t>成果｜完成不同机器人平台的搭建、调试与赛道验证，积累软硬件协同经验。</w:t>
            </w:r>
          </w:p>
          <w:p>
            <w:pPr>
              <w:keepLines/>
              <w:spacing w:before="84" w:after="56" w:line="240" w:lineRule="auto"/>
              <w:pBdr>
                <w:bottom w:val="single" w:sz="8" w:space="2" w:color="78A6BC"/>
              </w:pBdr>
            </w:pPr>
            <w:r>
              <w:rPr>
                <w:rFonts w:ascii="Calibri" w:hAnsi="Calibri" w:eastAsia="微软雅黑"/>
                <w:b/>
                <w:color w:val="173B52"/>
                <w:sz w:val="20"/>
              </w:rPr>
              <w:t>竞赛获奖与荣誉</w:t>
            </w:r>
          </w:p>
          <w:p>
            <w:pPr>
              <w:keepLines/>
              <w:spacing w:before="0" w:after="24" w:line="250" w:lineRule="auto"/>
            </w:pPr>
            <w:r>
              <w:rPr>
                <w:rFonts w:ascii="Calibri" w:hAnsi="Calibri" w:eastAsia="微软雅黑"/>
                <w:b w:val="0"/>
                <w:color w:val="202B31"/>
                <w:sz w:val="16"/>
              </w:rPr>
              <w:t>•  国家奖学金</w:t>
            </w:r>
          </w:p>
          <w:p>
            <w:pPr>
              <w:keepLines/>
              <w:spacing w:before="0" w:after="24" w:line="250" w:lineRule="auto"/>
            </w:pPr>
            <w:r>
              <w:rPr>
                <w:rFonts w:ascii="Calibri" w:hAnsi="Calibri" w:eastAsia="微软雅黑"/>
                <w:b w:val="0"/>
                <w:color w:val="202B31"/>
                <w:sz w:val="16"/>
              </w:rPr>
              <w:t>•  第十四届未来设计师 NCDA 全国总决赛三等奖（第二作者）</w:t>
            </w:r>
          </w:p>
          <w:p>
            <w:pPr>
              <w:keepLines/>
              <w:spacing w:before="0" w:after="24" w:line="250" w:lineRule="auto"/>
            </w:pPr>
            <w:r>
              <w:rPr>
                <w:rFonts w:ascii="Calibri" w:hAnsi="Calibri" w:eastAsia="微软雅黑"/>
                <w:b w:val="0"/>
                <w:color w:val="202B31"/>
                <w:sz w:val="16"/>
              </w:rPr>
              <w:t>•  华为 OPC 大赛优秀奖（星居项目负责人）</w:t>
            </w:r>
          </w:p>
          <w:p>
            <w:pPr>
              <w:keepLines/>
              <w:spacing w:before="0" w:after="24" w:line="250" w:lineRule="auto"/>
            </w:pPr>
            <w:r>
              <w:rPr>
                <w:rFonts w:ascii="Calibri" w:hAnsi="Calibri" w:eastAsia="微软雅黑"/>
                <w:b w:val="0"/>
                <w:color w:val="202B31"/>
                <w:sz w:val="16"/>
              </w:rPr>
              <w:t>•  全国大学生光电设计竞赛华北区二等奖（第二作者）</w:t>
            </w:r>
          </w:p>
          <w:p>
            <w:pPr>
              <w:keepLines/>
              <w:spacing w:before="0" w:after="24" w:line="250" w:lineRule="auto"/>
            </w:pPr>
            <w:r>
              <w:rPr>
                <w:rFonts w:ascii="Calibri" w:hAnsi="Calibri" w:eastAsia="微软雅黑"/>
                <w:b w:val="0"/>
                <w:color w:val="202B31"/>
                <w:sz w:val="16"/>
              </w:rPr>
              <w:t>•  “青创北京·挑战杯”首都大学生创业计划竞赛三等奖（团队成员）</w:t>
            </w:r>
          </w:p>
          <w:p>
            <w:pPr>
              <w:keepLines/>
              <w:spacing w:before="0" w:after="24" w:line="250" w:lineRule="auto"/>
            </w:pPr>
            <w:r>
              <w:rPr>
                <w:rFonts w:ascii="Calibri" w:hAnsi="Calibri" w:eastAsia="微软雅黑"/>
                <w:b w:val="0"/>
                <w:color w:val="202B31"/>
                <w:sz w:val="16"/>
              </w:rPr>
              <w:t>•  《英语世界》杯全国大学生翻译大赛本科生组全国二等奖；NETCCS C 类省级三等奖</w:t>
            </w:r>
          </w:p>
          <w:p>
            <w:pPr>
              <w:keepLines/>
              <w:spacing w:before="0" w:after="24" w:line="250" w:lineRule="auto"/>
            </w:pPr>
            <w:r>
              <w:rPr>
                <w:rFonts w:ascii="Calibri" w:hAnsi="Calibri" w:eastAsia="微软雅黑"/>
                <w:b w:val="0"/>
                <w:color w:val="202B31"/>
                <w:sz w:val="16"/>
              </w:rPr>
              <w:t>•  蓝桥杯 C/C++ 大学 A 组、码蹄杯北京赛区三等奖</w:t>
            </w:r>
          </w:p>
          <w:p>
            <w:pPr>
              <w:keepLines/>
              <w:spacing w:before="0" w:after="24" w:line="250" w:lineRule="auto"/>
            </w:pPr>
            <w:r>
              <w:rPr>
                <w:rFonts w:ascii="Calibri" w:hAnsi="Calibri" w:eastAsia="微软雅黑"/>
                <w:b w:val="0"/>
                <w:color w:val="202B31"/>
                <w:sz w:val="16"/>
              </w:rPr>
              <w:t>•  第十一届屠龙勇士智能车大赛校二等奖（队长）；追梦杯机器人竞赛校三等奖</w:t>
            </w:r>
          </w:p>
          <w:p>
            <w:pPr>
              <w:keepLines/>
              <w:spacing w:before="0" w:after="24" w:line="250" w:lineRule="auto"/>
            </w:pPr>
            <w:r>
              <w:rPr>
                <w:rFonts w:ascii="Calibri" w:hAnsi="Calibri" w:eastAsia="微软雅黑"/>
                <w:b w:val="0"/>
                <w:color w:val="202B31"/>
                <w:sz w:val="16"/>
              </w:rPr>
              <w:t>•  “博约杯”新生物理竞赛校一等奖</w:t>
            </w:r>
          </w:p>
        </w:tc>
      </w:tr>
    </w:tbl>
    <w:sectPr w:rsidR="00FC693F" w:rsidRPr="0006063C" w:rsidSect="00034616">
      <w:pgSz w:w="11906" w:h="16838"/>
      <w:pgMar w:top="454" w:right="454" w:bottom="454" w:left="454" w:header="227" w:footer="22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0" w:line="252" w:lineRule="auto"/>
    </w:pPr>
    <w:rPr>
      <w:rFonts w:ascii="Calibri" w:hAnsi="Calibri" w:eastAsia="微软雅黑"/>
      <w:color w:val="202B31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王晨旭 学术与科研简历</dc:title>
  <dc:subject>具身智能与机器人方向本科生简历</dc:subject>
  <dc:creator>王晨旭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