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Delivery 1 – Integrated Project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Resumen ejecutivo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DepaRent es una plataforma web de apoyo a la decisión dirigida principalmente a propietarios que desean publicar uno o varios departamentos en alquiler en Lima Metropolitana y Callao. El producto aborda la incertidumbre que enfrenta el propietario al comparar su inmueble con el mercado, estimar un precio razonable y definir una estrategia de publicación sustentada en datos.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La primera fase consolidó tres capas analíticas. La capa descriptiva caracteriza el perfil competitivo del inmueble y su accesibilidad urbana; la capa predictiva estima el precio esperado de alquiler y la tendencia distrital; y la capa prescriptiva transforma estos resultados en escenarios de precio y simulaciones de mejoras. La solución no pretende sustituir una tasación oficial ni garantizar un precio final de cierre.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 nivel de datos, se integran anuncios inmobiliarios de Adondevivir y Urbania con series trimestrales del BCRP y paraderos oficiales de la ATU. El pipeline de Week 06 depuró 3,822 anuncios crudos hasta 3,128 registros aptos para análisis espacial y predicción, recuperó variables desde texto libre, controló outliers y agregó contexto urbano y temporal. La selección preliminar de modelos ya cuenta con evidencia empírica: HistGradientBoosting alcanzó MAPE de 15.93% y R² de 0.8236 en el conjunto de prueba frente a un baseline Dummy de 36.59% de MAPE.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Resultado de la primera fase: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El proyecto ya dispone de una definición de producto estable, requerimientos documentados, datasets procesados, un EDA reproducible, selección de métodos analíticos y una propuesta de arquitectura y experiencia inicial. El foco de Weeks 8–15 será convertir estos componentes en un prototipo integrado y evaluable.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Definición revisada del problema, antecedentes y propuesta de valor</w:t>
      </w:r>
    </w:p>
    <w:p w:rsidR="00000000" w:rsidDel="00000000" w:rsidP="00000000" w:rsidRDefault="00000000" w:rsidRPr="00000000" w14:paraId="00000008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9"/>
          <w:szCs w:val="29"/>
          <w:rtl w:val="0"/>
        </w:rPr>
        <w:t xml:space="preserve">2.1. Problema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La pregunta central del producto es: ¿cómo puede un propietario determinar un precio de alquiler razonable y una estrategia de publicación utilizando información objetiva del mercado y las características de su inmueble?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Los portales inmobiliarios facilitan la publicación y búsqueda de propiedades, pero la decisión económica sigue recayendo en el propietario. Dos departamentos ubicados en el mismo distrito no necesariamente compiten entre sí: la superficie, distribución, antigüedad, amenidades, conectividad y contexto de mercado pueden diferenciar de forma sustancial su posicionamiento.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DepaRent busca reducir esta incertidumbre transformando datos dispersos en información accionable. El sistema integra comparables, accesibilidad, valoración predictiva, tendencia distrital y escenarios de decisión dentro de una experiencia web centrada en el propietario.</w:t>
      </w:r>
    </w:p>
    <w:p w:rsidR="00000000" w:rsidDel="00000000" w:rsidP="00000000" w:rsidRDefault="00000000" w:rsidRPr="00000000" w14:paraId="0000000C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9"/>
          <w:szCs w:val="29"/>
          <w:rtl w:val="0"/>
        </w:rPr>
        <w:t xml:space="preserve">2.2. Propuesta de valor</w:t>
      </w:r>
    </w:p>
    <w:tbl>
      <w:tblPr>
        <w:tblStyle w:val="Table1"/>
        <w:tblW w:w="980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7"/>
        <w:gridCol w:w="3267"/>
        <w:gridCol w:w="3267"/>
        <w:tblGridChange w:id="0">
          <w:tblGrid>
            <w:gridCol w:w="3267"/>
            <w:gridCol w:w="3267"/>
            <w:gridCol w:w="3267"/>
          </w:tblGrid>
        </w:tblGridChange>
      </w:tblGrid>
      <w:tr>
        <w:trPr>
          <w:cantSplit w:val="0"/>
          <w:tblHeader w:val="1"/>
        </w:trPr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  <w:shd w:fill="1d2430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1d2430" w:val="clear"/>
                <w:rtl w:val="0"/>
              </w:rPr>
              <w:t xml:space="preserve">Situación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  <w:shd w:fill="1d2430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1d2430" w:val="clear"/>
                <w:rtl w:val="0"/>
              </w:rPr>
              <w:t xml:space="preserve">Propuesta DepaRent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  <w:shd w:fill="1d2430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1d2430" w:val="clear"/>
                <w:rtl w:val="0"/>
              </w:rPr>
              <w:t xml:space="preserve">Valor para el propietario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Comparación manual de anuncios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Segmentación y recuperación de comparables dentro del perfil competitivo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Comparaciones más pertinentes y contextualizadas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Precio fijado por intuición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Predicción del precio esperado con error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Referencia cuantitativa antes de publicar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Poca lectura del contexto distrital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Forecasting sobre series BCRP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Contexto sobre dirección del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Decisión única y rígida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Escenarios competitivo, equilibrado y de renta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Elección alineada con el objetivo del propietario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Dudas sobre invertir en mejoras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Simulación contrafactual con el mismo modelo de 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Evaluación previa de escenarios sin afirmar causalidad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Alcance responsable: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Las salidas se comunican como estimaciones y escenarios de apoyo a la decisión. DepaRent no emite tasaciones oficiales, no garantiza el precio contractual final y no predice aún el tiempo exacto hasta alquilar.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Objetivos del producto</w:t>
      </w:r>
    </w:p>
    <w:p w:rsidR="00000000" w:rsidDel="00000000" w:rsidP="00000000" w:rsidRDefault="00000000" w:rsidRPr="00000000" w14:paraId="00000022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9"/>
          <w:szCs w:val="29"/>
          <w:rtl w:val="0"/>
        </w:rPr>
        <w:t xml:space="preserve">3.1. Objetivo general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Desarrollar una plataforma web de apoyo a la decisión para propietarios de departamentos en alquiler en Lima Metropolitana y Callao, que integre datos inmobiliarios y territoriales con técnicas descriptivas, predictivas y prescriptivas para analizar el posicionamiento del inmueble, estimar su precio esperado y generar escenarios que apoyen la definición de una estrategia de publicación.</w:t>
      </w:r>
    </w:p>
    <w:p w:rsidR="00000000" w:rsidDel="00000000" w:rsidP="00000000" w:rsidRDefault="00000000" w:rsidRPr="00000000" w14:paraId="00000024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9"/>
          <w:szCs w:val="29"/>
          <w:rtl w:val="0"/>
        </w:rPr>
        <w:t xml:space="preserve">3.2. Objetivos específicos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Caracterizar competitivamente cada inmueble e identificar propiedades comparables relevantes.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Evaluar el entorno de accesibilidad mediante información geográfica oficial de transporte público.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Desarrollar un modelo predictivo de precio de alquiler a partir de características físicas, de ubicación y contextuales.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Pronosticar la tendencia del mercado de alquiler por distrito utilizando series históricas inmobiliarias.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 escenarios prescriptivos de precio de publicación según el objetivo del propietario.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un simulador de mejoras que permita modificar virtualmente atributos seleccionados y observar cómo cambia el precio estimado.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Integrar en una única plataforma web la gestión y análisis de múltiples propiedades por propietario.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Data Product Canvas – primera fase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El Data Product Canvas de la primera fase resume la lógica de negocio, datos, actores y acciones del producto. La versión visual se entrega también como archivo independiente `DataProductCanvas.pdf`.</w:t>
      </w:r>
    </w:p>
    <w:tbl>
      <w:tblPr>
        <w:tblStyle w:val="Table2"/>
        <w:tblW w:w="98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5"/>
        <w:gridCol w:w="8295"/>
        <w:tblGridChange w:id="0">
          <w:tblGrid>
            <w:gridCol w:w="1515"/>
            <w:gridCol w:w="8295"/>
          </w:tblGrid>
        </w:tblGridChange>
      </w:tblGrid>
      <w:tr>
        <w:trPr>
          <w:cantSplit w:val="0"/>
          <w:tblHeader w:val="1"/>
        </w:trPr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Bloque Canvas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Definición consolidada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Incertidumbre del propietario para comparar su inmueble, estimar un precio razonable y definir una estrategia de publicación.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Propietario de uno o varios departamentos en alquiler; como usuario secundario, persona que busca alquilar sin registro obligatorio en la primera 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Anuncios inmobiliarios; series BCRP; paraderos ATU; variables físicas, amenidades extraídas, ubicación, accesibilidad y contexto temporal.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Hipótesis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Integrar comparables, contexto urbano, precio esperado y tendencia de mercado puede reducir la incertidumbre de posicionamiento del propietario.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Plataforma web con seis funcionalidades: perfil competitivo, accesibilidad, predicción de precio, pronóstico distrital, escenarios de precio y simulador de mejoras.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Propietarios, potenciales inquilinos, agentes/inmobiliarias, equipo de desarrollo, equipo ML/Data, administrador de plataforma y proveedores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Calidad y cobertura de datos; silhouette de clustering; MAE/RMSE/MAPE/R² en precio; validación temporal en forecasting; criterios de aceptación y rendimiento de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Centralizar el análisis previo a la publicación y convertir datos inmobiliarios/territoriales en una decisión de precio más informada.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Registrar propiedad, analizar, comparar, interpretar contexto, elegir estrategia, simular mejoras y publicar.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Usuarios, stakeholders, necesidades y requerimientos</w:t>
      </w:r>
    </w:p>
    <w:p w:rsidR="00000000" w:rsidDel="00000000" w:rsidP="00000000" w:rsidRDefault="00000000" w:rsidRPr="00000000" w14:paraId="00000043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9"/>
          <w:szCs w:val="29"/>
          <w:rtl w:val="0"/>
        </w:rPr>
        <w:t xml:space="preserve">5.1. Usuarios objetivo</w:t>
      </w:r>
    </w:p>
    <w:tbl>
      <w:tblPr>
        <w:tblStyle w:val="Table3"/>
        <w:tblW w:w="98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90"/>
        <w:gridCol w:w="3330"/>
        <w:gridCol w:w="3390"/>
        <w:tblGridChange w:id="0">
          <w:tblGrid>
            <w:gridCol w:w="3090"/>
            <w:gridCol w:w="3330"/>
            <w:gridCol w:w="3390"/>
          </w:tblGrid>
        </w:tblGridChange>
      </w:tblGrid>
      <w:tr>
        <w:trPr>
          <w:cantSplit w:val="0"/>
          <w:tblHeader w:val="1"/>
        </w:trPr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Necesidad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Interacción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Propietario (principal)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Valorar y posicionar uno o varios departamentos con apoyo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Registro/login, gestión de propiedades, análisis, simulación, definición de precio y publicación.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Persona que busca alquilar (secundario)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Explorar propiedades disponibles y contactar al propietario.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Consulta pública de inventario y ficha del inmueble sin registro obligatorio en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Agente/inmobiliaria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Gestionar portafolios y utilizar análisis comparativos.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Stakeholder secundario y potencial usuario B2B en etapas posteriores.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9"/>
          <w:szCs w:val="29"/>
          <w:rtl w:val="0"/>
        </w:rPr>
        <w:t xml:space="preserve">5.2. Stakeholders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Propietarios de departamentos en alquiler.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Personas que buscan alquilar.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Agentes inmobiliarios e inmobiliarias.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 de desarrollo.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 de Machine Learning / Data.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 de la plataforma.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Proveedores externos de datos: BCRP y ATU.</w:t>
      </w:r>
    </w:p>
    <w:p w:rsidR="00000000" w:rsidDel="00000000" w:rsidP="00000000" w:rsidRDefault="00000000" w:rsidRPr="00000000" w14:paraId="00000059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9"/>
          <w:szCs w:val="29"/>
          <w:rtl w:val="0"/>
        </w:rPr>
        <w:t xml:space="preserve">5.3. Requerimientos macro</w:t>
      </w:r>
    </w:p>
    <w:tbl>
      <w:tblPr>
        <w:tblStyle w:val="Table4"/>
        <w:tblW w:w="98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5940"/>
        <w:gridCol w:w="3270"/>
        <w:tblGridChange w:id="0">
          <w:tblGrid>
            <w:gridCol w:w="600"/>
            <w:gridCol w:w="5940"/>
            <w:gridCol w:w="3270"/>
          </w:tblGrid>
        </w:tblGridChange>
      </w:tblGrid>
      <w:tr>
        <w:trPr>
          <w:cantSplit w:val="0"/>
          <w:tblHeader w:val="1"/>
        </w:trPr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Funcionalidades cubiertas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Analizar y valorizar integralmente el inmueble para reducir la incertidumbre antes de definir una estrategia de publicación.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Perfil competitivo · Accesibilidad · Predicción de precio · Pronóstico distrital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Utilizar los resultados del análisis y el objetivo del propietario para generar escenarios de precio y simulaciones antes de publicar.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Precio recomendado · Simulador de mejoras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9"/>
          <w:szCs w:val="29"/>
          <w:rtl w:val="0"/>
        </w:rPr>
        <w:t xml:space="preserve">5.4. Requisitos funcionales y no funcionales</w:t>
      </w:r>
    </w:p>
    <w:tbl>
      <w:tblPr>
        <w:tblStyle w:val="Table5"/>
        <w:tblW w:w="98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7050"/>
        <w:tblGridChange w:id="0">
          <w:tblGrid>
            <w:gridCol w:w="2760"/>
            <w:gridCol w:w="7050"/>
          </w:tblGrid>
        </w:tblGridChange>
      </w:tblGrid>
      <w:tr>
        <w:trPr>
          <w:cantSplit w:val="0"/>
          <w:tblHeader w:val="1"/>
        </w:trPr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Síntesis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Gestión de usuario y propiedades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Registro/inicio de sesión, múltiples inmuebles por cuenta, edición, publicación y persistencia del análisis.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Analítica 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Segmentación y comparables, indicadores de accesibilidad, estimación de precio y tendencia distrital.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Analítica 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Escenarios de precio y simulación de atributos modificables sin alterar permanentemente la ficha original.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Cara 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Inventario público, ficha de propiedad y contacto con el propietario.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No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Usabilidad, rendimiento objetivo &lt;5 s para resultados ya calculables, seguridad, privacidad, explicabilidad, reproducibilidad, calidad de datos, escalabilidad y comunicación responsable.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Criterios de aceptación representativos: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La cuenta debe administrar más de una propiedad; el sistema debe producir comparables, predicción de precio y tendencia cuando exista cobertura; debe diferenciar precio propuesto, estimado y limitaciones; y el simulador debe recalcular un escenario sin modificar permanentemente el inmueble original.</w:t>
      </w:r>
    </w:p>
    <w:p w:rsidR="00000000" w:rsidDel="00000000" w:rsidP="00000000" w:rsidRDefault="00000000" w:rsidRPr="00000000" w14:paraId="00000073">
      <w:pPr>
        <w:pStyle w:val="Heading1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 Datos disponibles y diccionario de datos</w:t>
      </w:r>
    </w:p>
    <w:p w:rsidR="00000000" w:rsidDel="00000000" w:rsidP="00000000" w:rsidRDefault="00000000" w:rsidRPr="00000000" w14:paraId="00000074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9"/>
          <w:szCs w:val="29"/>
          <w:rtl w:val="0"/>
        </w:rPr>
        <w:t xml:space="preserve">6.1. Fuentes y volumen</w:t>
      </w:r>
    </w:p>
    <w:tbl>
      <w:tblPr>
        <w:tblStyle w:val="Table6"/>
        <w:tblW w:w="97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2550"/>
        <w:gridCol w:w="2970"/>
        <w:gridCol w:w="2445"/>
        <w:tblGridChange w:id="0">
          <w:tblGrid>
            <w:gridCol w:w="1815"/>
            <w:gridCol w:w="2550"/>
            <w:gridCol w:w="2970"/>
            <w:gridCol w:w="2445"/>
          </w:tblGrid>
        </w:tblGridChange>
      </w:tblGrid>
      <w:tr>
        <w:trPr>
          <w:cantSplit w:val="0"/>
          <w:tblHeader w:val="1"/>
        </w:trPr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Volumen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 en DepaRent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Adondevivir + Urbania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3,822 anuncios crudos · 43 columnas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Precio, distrito, áreas, dormitorios, baños, coordenadas, texto libre y atributos del anuncio.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Base microinmobiliaria; clustering, comparables y predicción.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BCRP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663 observaciones trimestrales · 6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PER, precio de venta USD/m², tipo de cambio y alquiler implícito por distrito.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Contexto temporal y forecasting distrital.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3,233 paraderos · 10 columnas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Paraderos georreferenciados, corredor, modalidad y afluencia.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Features de accesibilidad urbana.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2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Tras filtros geográficos, de precio, área y doble modalidad venta/alquiler, el dataset principal utilizado para análisis espacial y predicción queda en 3,128 departamentos. Para clustering se conserva además un dataset específico que preserva anuncios sin geolocalización cuando las variables requeridas están disponibles.</w:t>
      </w:r>
    </w:p>
    <w:p w:rsidR="00000000" w:rsidDel="00000000" w:rsidP="00000000" w:rsidRDefault="00000000" w:rsidRPr="00000000" w14:paraId="00000087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9"/>
          <w:szCs w:val="29"/>
          <w:rtl w:val="0"/>
        </w:rPr>
        <w:t xml:space="preserve">6.2. Diccionario de datos – familias de variables</w:t>
      </w:r>
    </w:p>
    <w:tbl>
      <w:tblPr>
        <w:tblStyle w:val="Table7"/>
        <w:tblW w:w="98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4335"/>
        <w:gridCol w:w="3600"/>
        <w:tblGridChange w:id="0">
          <w:tblGrid>
            <w:gridCol w:w="1875"/>
            <w:gridCol w:w="4335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Ejemplos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Tratamiento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Precio y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precio_soles, precio_m2_real, 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Estandarización, control de outliers e imputación documentada cuando corresponde.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Características físicas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area_total, area_construida, dormitorios, banos, medios_banos, antiguedad, piso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Validación de rangos, extracción desde texto e indicadores de missingness.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Estacionamiento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estacionamientos, cochera, estacionamientos_imputado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No asumir nulo = 0; la ausencia se conserva como información ambigua.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Amenidades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piscina, gimnasio, seguridad_24_7, coworking, balcon, terraza, pet_friendly,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Extracción por palabras clave desde texto libre.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distrito_norm, latitud, 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Normalización categórica y validación geográfica.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dist_paradero_min_m, paraderos_300m/500m/1000m, dist_troncal_brt_m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Ingeniería espacial con cKDTree.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Contexto BCRP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PER, Precio_Venta_USD, Alquiler_Mensual_Soles, bcrp_es_promedio_general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Join por distrito/trimestre y flag para uso de promedio metropolitano.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2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El diccionario completo y actualizado se entrega como `data_dictionary.csv`.</w:t>
      </w:r>
    </w:p>
    <w:p w:rsidR="00000000" w:rsidDel="00000000" w:rsidP="00000000" w:rsidRDefault="00000000" w:rsidRPr="00000000" w14:paraId="000000A2">
      <w:pPr>
        <w:pStyle w:val="Heading1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 Preprocesamiento e ingeniería de características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El pipeline de Week 06 separa explícitamente adquisición, recuperación de información, limpieza, integración y modelado. Cada transformación quedó documentada en el notebook reproducible.</w:t>
      </w:r>
    </w:p>
    <w:tbl>
      <w:tblPr>
        <w:tblStyle w:val="Table8"/>
        <w:tblW w:w="98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0"/>
        <w:gridCol w:w="4200"/>
        <w:gridCol w:w="4140"/>
        <w:tblGridChange w:id="0">
          <w:tblGrid>
            <w:gridCol w:w="1470"/>
            <w:gridCol w:w="4200"/>
            <w:gridCol w:w="4140"/>
          </w:tblGrid>
        </w:tblGridChange>
      </w:tblGrid>
      <w:tr>
        <w:trPr>
          <w:cantSplit w:val="0"/>
          <w:tblHeader w:val="1"/>
        </w:trPr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1.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Lectura de los tres datasets crudos.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DataFrames originales y diagnóstico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2.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Nulos, tipos, rangos y calidad de categorías.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Mapa de problemas y decisiones de tratamiento.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3. Recuperación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Expresiones regulares y palabras clave sobre texto libre.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Piso, antigüedad, estacionamientos, mantenimiento y amenidades recuperadas.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4. 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Coordenadas inválidas, precios/áreas extremos y anuncios venta/alquiler.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`df_clean` con 3,128 registros.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5.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Join BCRP y features espaciales ATU.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Contexto distrital y accesibilidad.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6. Modelado preliminar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Benchmark de regresión, clustering y diagnóstico temporal.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Métodos candidatos y selección de primera fase.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2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9"/>
          <w:szCs w:val="29"/>
          <w:rtl w:val="0"/>
        </w:rPr>
        <w:t xml:space="preserve">7.1. Recuperación desde texto libre</w:t>
      </w:r>
    </w:p>
    <w:tbl>
      <w:tblPr>
        <w:tblStyle w:val="Table9"/>
        <w:tblW w:w="97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1980"/>
        <w:gridCol w:w="1650"/>
        <w:gridCol w:w="4575"/>
        <w:tblGridChange w:id="0">
          <w:tblGrid>
            <w:gridCol w:w="1575"/>
            <w:gridCol w:w="1980"/>
            <w:gridCol w:w="1650"/>
            <w:gridCol w:w="4575"/>
          </w:tblGrid>
        </w:tblGridChange>
      </w:tblGrid>
      <w:tr>
        <w:trPr>
          <w:cantSplit w:val="0"/>
          <w:tblHeader w:val="1"/>
        </w:trPr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Registros recuperados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Cobertura ganada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2,098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54.89%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Patrones de nivel/piso; rango válido 1–45.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antigüedad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521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13.63%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Años declarados o “estreno” =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estacionamientos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5.15%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Cocheras mencionadas explícitamente.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1.13%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Cuotas en soles entre S/ 50 y S/ 2,500.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2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Las amenidades también se recuperan desde texto libre. Entre las de mayor prevalencia se encuentran seguridad 24/7 (44.6%), parrilla (37.6%), ascensor (36.1%), gimnasio (33.0%), balcón (31.9%) y coworking (30.3%).</w:t>
      </w:r>
    </w:p>
    <w:p w:rsidR="00000000" w:rsidDel="00000000" w:rsidP="00000000" w:rsidRDefault="00000000" w:rsidRPr="00000000" w14:paraId="000000D1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9"/>
          <w:szCs w:val="29"/>
          <w:rtl w:val="0"/>
        </w:rPr>
        <w:t xml:space="preserve">7.2. Limpieza de outliers y registros no válidos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descartaron 694 observaciones (18.16%) del dataset original.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 anuncios correspondían a doble modalidad venta/alquiler; 40 de ellos habrían pasado un filtro solo por monto, por lo que se excluyeron también por texto del título.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precio se acotó al rango S/ 800–S/ 25,000 y el área total a 25–450 m², con inspección manual de casos extremos.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corrigió “Barranca”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“Barranco” utilizando evidencia de coordenadas.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distritos con menos de 20 anuncios se agruparon como “Otros” para reducir categorías de muy baja frecuencia y riesgo de sobreajuste.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8. Análisis exploratorio de datos: hallazgos y limitaciones</w:t>
      </w:r>
    </w:p>
    <w:p w:rsidR="00000000" w:rsidDel="00000000" w:rsidP="00000000" w:rsidRDefault="00000000" w:rsidRPr="00000000" w14:paraId="000000D8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9"/>
          <w:szCs w:val="29"/>
          <w:rtl w:val="0"/>
        </w:rPr>
        <w:t xml:space="preserve">8.1. Distribuciones y relaciones</w:t>
      </w:r>
    </w:p>
    <w:tbl>
      <w:tblPr>
        <w:tblStyle w:val="Table10"/>
        <w:tblW w:w="980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7"/>
        <w:gridCol w:w="3267"/>
        <w:gridCol w:w="3267"/>
        <w:tblGridChange w:id="0">
          <w:tblGrid>
            <w:gridCol w:w="3267"/>
            <w:gridCol w:w="3267"/>
            <w:gridCol w:w="3267"/>
          </w:tblGrid>
        </w:tblGridChange>
      </w:tblGrid>
      <w:tr>
        <w:trPr>
          <w:cantSplit w:val="0"/>
          <w:tblHeader w:val="1"/>
        </w:trPr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Distribución de precio más 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Skewness disminuye de 14.07 a 3.24 tras filtros.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Menor influencia de errores extremos en el entrenamiento.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Mediana de alquiler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S/ 2,750 en `df_clean`.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Referencia descriptiva central del mercado observado.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Variables lineales más asociadas al 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mantenimiento r=0.79; area_total r=0.77; baños r=0.50.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Área y costos de mantenimiento contienen señal fuerte para valoración.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Accesibilidad aporta señal 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dist_paradero_min_m y dist_troncal_brt_m aparecen entre variables importantes en Random Forest.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El contexto urbano complementa características físicas.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Cobertura BCRP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83.7% de propiedades enlazan con serie distrital propia.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16.3% requiere promedio metropolitano y menor precisión contextual.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9"/>
          <w:szCs w:val="29"/>
          <w:rtl w:val="0"/>
        </w:rPr>
        <w:t xml:space="preserve">8.2. Accesibilidad urbana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Distancia mediana al paradero más cercano: 174.8 m.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71.6% de departamentos tiene al menos un paradero a menos de 300 m.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Promedio de 9.3 paraderos dentro de un radio de 500 m.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Distancia mediana a la troncal del Metropolitano (BRT): 1,767.8 m.</w:t>
      </w:r>
    </w:p>
    <w:p w:rsidR="00000000" w:rsidDel="00000000" w:rsidP="00000000" w:rsidRDefault="00000000" w:rsidRPr="00000000" w14:paraId="000000F0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9"/>
          <w:szCs w:val="29"/>
          <w:rtl w:val="0"/>
        </w:rPr>
        <w:t xml:space="preserve">8.3. Limitaciones que debe asumir el producto</w:t>
      </w:r>
    </w:p>
    <w:tbl>
      <w:tblPr>
        <w:tblStyle w:val="Table11"/>
        <w:tblW w:w="98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5"/>
        <w:gridCol w:w="3525"/>
        <w:gridCol w:w="3270"/>
        <w:tblGridChange w:id="0">
          <w:tblGrid>
            <w:gridCol w:w="3015"/>
            <w:gridCol w:w="3525"/>
            <w:gridCol w:w="3270"/>
          </w:tblGrid>
        </w:tblGridChange>
      </w:tblGrid>
      <w:tr>
        <w:trPr>
          <w:cantSplit w:val="0"/>
          <w:tblHeader w:val="1"/>
        </w:trPr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Limitación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Efecto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Tratamiento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Estacionamientos ambiguos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89.25% de nulos no permite distinguir “sin cochera” de “no informado”.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Preservar NaN y utilizar flag de missingness.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Amenidades y piso dependen de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Sinónimos no contemplados generan falsos negativos.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Diccionario de palabras clave y documentación de cobertura.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Cobertura BCRP incompleta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16.3% usa promedio metropolitano.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Flag `bcrp_es_promedio_general` y comunicación de menor precisión.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ATU con corte mayo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Nueva infraestructura puede no estar reflejada.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Documentar antigüedad de la fuente y evitar afirmar actualidad absoluta.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sdt>
              <w:sdtPr>
                <w:id w:val="840554631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Asking price ≠ contrato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El precio objetivo es oferta publicada, no cierre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Comunicar resultado como referencia de mercado, no tasación contractual.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2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9. Enfoque analítico, modelos seleccionados y baselines</w:t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La selección de primera fase distingue claramente cuándo se requiere Machine Learning y cuándo un método analítico más simple es suficiente. Esto evita introducir complejidad sin valor adicional para el producto.</w:t>
      </w:r>
    </w:p>
    <w:tbl>
      <w:tblPr>
        <w:tblStyle w:val="Table12"/>
        <w:tblW w:w="98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1770"/>
        <w:gridCol w:w="2625"/>
        <w:gridCol w:w="2235"/>
        <w:gridCol w:w="2775"/>
        <w:tblGridChange w:id="0">
          <w:tblGrid>
            <w:gridCol w:w="420"/>
            <w:gridCol w:w="1770"/>
            <w:gridCol w:w="2625"/>
            <w:gridCol w:w="2235"/>
            <w:gridCol w:w="2775"/>
          </w:tblGrid>
        </w:tblGridChange>
      </w:tblGrid>
      <w:tr>
        <w:trPr>
          <w:cantSplit w:val="0"/>
          <w:tblHeader w:val="1"/>
        </w:trPr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Método seleccionado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Baseline / 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Evidencia / 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Perfil competitivo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K-Means k=4 · 19 features estandarizadas · sin PCA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9 features + PCA, k=2: silhouette 0.274; 9 features sin PCA: 0.237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Modelo final silhouette 0.1647. Se prioriza interpretabilidad y riqueza de amenidades; se reconoce estructura débil y necesidad de validar estabilidad.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Accesibilidad urbana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Feature engineering geoespacial con cKDTree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No requiere modelo ML dedicado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Produce distancias y conteos; variables de transporte aportan señal al modelo de precio.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Precio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HistGradientBoosting 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Dummy mediana: MAPE 36.59%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MAPE 15.93%; R² 0.8236; MAE S/501.48; RMSE S/853.70. Reduce 56.5% el error relativo frente al baseline.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Pronóstico distrital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SARIMA d=1, s=4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Naive estacional: mismo trimestre del año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69.2% de las series BCRP no son estacionarias; estacionalidad trimestral justifica SARIMA.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Precio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Motor de reglas sobre outputs #1 + #3 + 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No es un modelo ML 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Genera escenarios competitivo, equilibrado y renta superior.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Simulador de mejoras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Inferencia contrafactual reutilizando 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No requiere modelo 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Modifica virtualmente un atributo y compara predicción actual vs. simulada; no se interpreta como causalidad.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2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9"/>
          <w:szCs w:val="29"/>
          <w:rtl w:val="0"/>
        </w:rPr>
        <w:t xml:space="preserve">9.1. Benchmark del modelo de precio</w:t>
      </w:r>
    </w:p>
    <w:tbl>
      <w:tblPr>
        <w:tblStyle w:val="Table13"/>
        <w:tblW w:w="9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0"/>
        <w:gridCol w:w="1960"/>
        <w:gridCol w:w="1960"/>
        <w:gridCol w:w="1960"/>
        <w:gridCol w:w="1960"/>
        <w:tblGridChange w:id="0">
          <w:tblGrid>
            <w:gridCol w:w="1960"/>
            <w:gridCol w:w="1960"/>
            <w:gridCol w:w="1960"/>
            <w:gridCol w:w="1960"/>
            <w:gridCol w:w="1960"/>
          </w:tblGrid>
        </w:tblGridChange>
      </w:tblGrid>
      <w:tr>
        <w:trPr>
          <w:cantSplit w:val="0"/>
          <w:tblHeader w:val="1"/>
        </w:trPr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MAE (S/)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RMSE (S/)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HistGradientBoosting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0.8236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501.48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853.70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15.93%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0.7889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500.87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933.92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16.05%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Gradient Boosting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0.7882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518.86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935.53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16.37%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KNN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0.7903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535.40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930.80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17.27%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0.7787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622.36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956.28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21.56%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Dummy – mediana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-0.0689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1,213.26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2,101.61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36.59%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2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10. Arquitectura inicial del producto</w:t>
      </w:r>
    </w:p>
    <w:p w:rsidR="00000000" w:rsidDel="00000000" w:rsidP="00000000" w:rsidRDefault="00000000" w:rsidRPr="00000000" w14:paraId="00000150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La arquitectura inicial separa la experiencia web, la persistencia/orquestación y la capa analítica. Esta separación permite que los modelos evolucionen sin rediseñar por completo la interfaz del producto.</w:t>
      </w:r>
    </w:p>
    <w:p w:rsidR="00000000" w:rsidDel="00000000" w:rsidP="00000000" w:rsidRDefault="00000000" w:rsidRPr="00000000" w14:paraId="00000151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</w:rPr>
        <w:drawing>
          <wp:inline distB="114300" distT="114300" distL="114300" distR="114300">
            <wp:extent cx="6224270" cy="1727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El backend deberá exponer servicios para registrar propiedades, solicitar análisis, recuperar resultados y persistir la estrategia seleccionada. La capa analítica utilizará datasets procesados y artefactos de modelo versionados. Las fuentes externas se integran mediante pipelines de actualización, no mediante llamadas directas desde el frontend.</w:t>
      </w:r>
    </w:p>
    <w:p w:rsidR="00000000" w:rsidDel="00000000" w:rsidP="00000000" w:rsidRDefault="00000000" w:rsidRPr="00000000" w14:paraId="00000154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11. Workflow del sistema</w:t>
      </w:r>
    </w:p>
    <w:p w:rsidR="00000000" w:rsidDel="00000000" w:rsidP="00000000" w:rsidRDefault="00000000" w:rsidRPr="00000000" w14:paraId="00000155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</w:rPr>
        <w:drawing>
          <wp:inline distB="114300" distT="114300" distL="114300" distR="114300">
            <wp:extent cx="6224270" cy="1028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El workflow reúne los dos requerimientos macro. R1 culmina en el dashboard integral con perfil competitivo, accesibilidad, precio esperado y tendencia distrital. R2 utiliza estos outputs para generar escenarios de precio, ejecutar simulaciones y permitir que el propietario elija una estrategia de publicación.</w:t>
      </w:r>
    </w:p>
    <w:p w:rsidR="00000000" w:rsidDel="00000000" w:rsidP="00000000" w:rsidRDefault="00000000" w:rsidRPr="00000000" w14:paraId="00000157">
      <w:pPr>
        <w:pStyle w:val="Heading1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12. Interfaz y wireframes de baja fidelidad</w:t>
      </w:r>
    </w:p>
    <w:p w:rsidR="00000000" w:rsidDel="00000000" w:rsidP="00000000" w:rsidRDefault="00000000" w:rsidRPr="00000000" w14:paraId="00000158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Los wireframes integradores representan la experiencia del propietario y concentran las seis funcionalidades en dos pantallas principales. Las versiones completas, casos de uso, storyboards e historias de usuario se mantienen en `Requirements.pdf`.</w:t>
      </w:r>
    </w:p>
    <w:p w:rsidR="00000000" w:rsidDel="00000000" w:rsidP="00000000" w:rsidRDefault="00000000" w:rsidRPr="00000000" w14:paraId="00000159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9"/>
          <w:szCs w:val="29"/>
          <w:rtl w:val="0"/>
        </w:rPr>
        <w:t xml:space="preserve">12.1. Wireframe R1 – Análisis integral</w:t>
      </w:r>
    </w:p>
    <w:p w:rsidR="00000000" w:rsidDel="00000000" w:rsidP="00000000" w:rsidRDefault="00000000" w:rsidRPr="00000000" w14:paraId="0000015A">
      <w:pPr>
        <w:jc w:val="center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</w:rPr>
        <w:drawing>
          <wp:inline distB="0" distT="0" distL="114300" distR="114300">
            <wp:extent cx="4437764" cy="247364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7764" cy="2473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9"/>
          <w:szCs w:val="29"/>
          <w:rtl w:val="0"/>
        </w:rPr>
        <w:t xml:space="preserve">12.2. Wireframe R2 – Estrategia y simulación</w:t>
      </w:r>
    </w:p>
    <w:p w:rsidR="00000000" w:rsidDel="00000000" w:rsidP="00000000" w:rsidRDefault="00000000" w:rsidRPr="00000000" w14:paraId="0000015C">
      <w:pPr>
        <w:jc w:val="center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</w:rPr>
        <w:drawing>
          <wp:inline distB="0" distT="0" distL="114300" distR="114300">
            <wp:extent cx="4562475" cy="253156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531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13. Plan priorizado de implementación hasta Week 15</w:t>
      </w:r>
    </w:p>
    <w:p w:rsidR="00000000" w:rsidDel="00000000" w:rsidP="00000000" w:rsidRDefault="00000000" w:rsidRPr="00000000" w14:paraId="0000015E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El siguiente plan prioriza primero la robustez del pipeline y los modelos centrales, luego la integración de los módulos prescriptivos y finalmente la validación del prototipo. Es un plan de ejecución propuesto para la segunda fase y puede ajustarse según la retroalimentación docente y los resultados técnicos.</w:t>
      </w:r>
    </w:p>
    <w:tbl>
      <w:tblPr>
        <w:tblStyle w:val="Table14"/>
        <w:tblW w:w="97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"/>
        <w:gridCol w:w="1035"/>
        <w:gridCol w:w="5280"/>
        <w:gridCol w:w="2445"/>
        <w:tblGridChange w:id="0">
          <w:tblGrid>
            <w:gridCol w:w="1020"/>
            <w:gridCol w:w="1035"/>
            <w:gridCol w:w="5280"/>
            <w:gridCol w:w="2445"/>
          </w:tblGrid>
        </w:tblGridChange>
      </w:tblGrid>
      <w:tr>
        <w:trPr>
          <w:cantSplit w:val="0"/>
          <w:tblHeader w:val="1"/>
        </w:trPr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Trabajo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Consolidar definición integrada, arquitectura, requirements, datos y plan de implementación.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Delivery 1 completo y repositorio reorganizado.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Estabilizar pipeline de datos, esquemas y artefactos procesados; pruebas de reproducibilidad.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Pipeline reproducible y datasets versionados.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Week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Validar estabilidad de K-Means k=4 e implementar segunda etapa de comparables (k-NN dentro de cluster + ubicación).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Perfil competitivo utilizable en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Week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Tuning y análisis de error del HistGradientBoosting; definición de contrato de inferencia.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Modelo de precio versionado y endpoint/prototipo de inferencia.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Week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Media-Alta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Implementar/validar SARIMA temporal y consolidar módulo de accesibilidad.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Tendencia distrital y accesibilidad integrables.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Week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Construir motor de escenarios de precio y simulador contrafactual con advertencias de 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Módulos prescriptivos funcionales.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Week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Integrar frontend, backend, persistencia y modelos; flujo propietario de extremo a extremo.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Prototipo integrado.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Week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Pruebas con usuarios, criterios de aceptación, QA, rendimiento, revisión de explicabilidad y limitaciones.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Versión candidata final con hallazgos de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Week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Evaluación final, documentación, limpieza de repositorio, presentación y entrega.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Prototipo final y Delivery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2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14. División de responsabilidades</w:t>
      </w:r>
    </w:p>
    <w:p w:rsidR="00000000" w:rsidDel="00000000" w:rsidP="00000000" w:rsidRDefault="00000000" w:rsidRPr="00000000" w14:paraId="0000018A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La asignación se alinea con los roles ya definidos por el equipo. Las actividades de integración, validación y presentación permanecen como responsabilidad compartida.</w:t>
      </w:r>
    </w:p>
    <w:tbl>
      <w:tblPr>
        <w:tblStyle w:val="Table15"/>
        <w:tblW w:w="98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3435"/>
        <w:gridCol w:w="3960"/>
        <w:tblGridChange w:id="0">
          <w:tblGrid>
            <w:gridCol w:w="2415"/>
            <w:gridCol w:w="3435"/>
            <w:gridCol w:w="3960"/>
          </w:tblGrid>
        </w:tblGridChange>
      </w:tblGrid>
      <w:tr>
        <w:trPr>
          <w:cantSplit w:val="0"/>
          <w:tblHeader w:val="1"/>
        </w:trPr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Responsabilidades Weeks 7–15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Adrian Urbina Mendoza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Team Leader / Data Acquisition &amp; 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Coordinación técnica; adquisición y limpieza; reproducibilidad; versionado de datasets; soporte a clustering/comparables; control del calendario y entregables.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Armando Martinez Palomino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Data Engineering &amp; External Data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Integración BCRP/ATU; diseño de esquemas y pipelines; backend/servicios de datos; soporte a arquitectura e integración del prototipo.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Breysi Salazar Medina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Machine Learning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Clustering y validación; modelo de precio y tuning; forecasting SARIMA; motor de escenarios y simulador; métricas y documentación de modelos.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Luciana Yangali Cáceres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Application /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Diseño y desarrollo de interfaz; dashboards; wireframes/prototipo; visualización de resultados; integración UX y pruebas de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Integración y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Criterios de aceptación, pruebas de extremo a extremo, documentación final, revisión de limitaciones y presentación.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pStyle w:val="Heading1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15. Conclusiones de primera fase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DepaRent tiene una definición de problema y propuesta de valor estable: apoyar al propietario antes de fijar y publicar un alquiler, sin sustituir una tasación oficial.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combinación de datos microinmobiliarios con BCRP y ATU permite describir el inmueble, incorporar contexto urbano/temporal y construir variables útiles para predicción.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EDA reveló problemas reales de calidad —nulos estructurales, anuncios mixtos venta/alquiler, categorías raras y dependencia de texto libre— y estableció tratamientos explícitos y reproducibles.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precio HistGradientBoosting ya supera ampliamente el baseline, mientras que clustering y forecasting requieren validaciones adicionales antes de considerarse cerrados.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arquitectura de producto evita forzar Machine Learning donde no es necesario: accesibilidad usa feature engineering espacial, y los módulos prescriptivos reutilizan outputs existentes.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segunda fase debe concentrarse en robustecer los modelos pendientes, integrar la experiencia web completa y validar el prototipo con usuarios y criterios de aceptación.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Cierre: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La primera fase demuestra que DepaRent es viable como Producto de Datos: existe un problema definido, usuarios y requerimientos claros, fuentes procesables, señal predictiva medible y una arquitectura inicial para convertir los análisis en decisiones de publicación.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16. Referencias y trazabilidad del repositorio</w:t>
      </w:r>
    </w:p>
    <w:p w:rsidR="00000000" w:rsidDel="00000000" w:rsidP="00000000" w:rsidRDefault="00000000" w:rsidRPr="00000000" w14:paraId="000001A7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9"/>
          <w:szCs w:val="29"/>
          <w:rtl w:val="0"/>
        </w:rPr>
        <w:t xml:space="preserve">16.1. Artefactos base consolidados</w:t>
      </w:r>
    </w:p>
    <w:tbl>
      <w:tblPr>
        <w:tblStyle w:val="Table16"/>
        <w:tblW w:w="98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5"/>
        <w:gridCol w:w="7365"/>
        <w:tblGridChange w:id="0">
          <w:tblGrid>
            <w:gridCol w:w="2445"/>
            <w:gridCol w:w="7365"/>
          </w:tblGrid>
        </w:tblGridChange>
      </w:tblGrid>
      <w:tr>
        <w:trPr>
          <w:cantSplit w:val="0"/>
          <w:tblHeader w:val="1"/>
        </w:trPr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a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Ruta / 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ProjectProposal.pdf / 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deliveries/week05/ — definición, antecedentes, usuarios, propuesta y alcance.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DataProductCanvas.pdf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deliveries/week05/ — Canvas de la primera fase.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Requirements.pdf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deliveries/week05/ — stakeholders, necesidades, RF/RNF, criterios, casos de uso, wireframes, storyboards y user stories.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DataAnalysis.md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deliveries/week06/ — calidad de datos, preprocesamiento, EDA, hallazgos y limitaciones.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ModelSelection.md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deliveries/week06/ — métodos seleccionados, benchmarks, baselines y pendientes.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EDA_week06_v5.ipynb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deliveries/week06/code/ — notebook reproducible con limpieza, feature engineering y modelado preliminar.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data_dictionary.csv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deliveries/week06/ — catálogo actualizado de variables crudas y derivadas.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data/processed/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deliveries/week06/ — cinco datasets procesados utilizados en el análisis.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2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9"/>
          <w:szCs w:val="29"/>
          <w:rtl w:val="0"/>
        </w:rPr>
        <w:t xml:space="preserve">16.2. Fuentes externas de datos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Adondevivir y Urbania — anuncios inmobiliarios de departamentos en alquiler.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 Central de Reserva del Perú (BCRP) — series trimestrales del mercado inmobiliario.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Autoridad de Transporte Urbano para Lima y Callao (ATU) — inventario georreferenciado de paraderos.</w:t>
      </w:r>
    </w:p>
    <w:p w:rsidR="00000000" w:rsidDel="00000000" w:rsidP="00000000" w:rsidRDefault="00000000" w:rsidRPr="00000000" w14:paraId="000001BF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Repositorio público del proyecto: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  <w:rtl w:val="0"/>
          </w:rPr>
          <w:t xml:space="preserve">https://github.com/Luciana-y/DepaRent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020" w:top="1077" w:left="1219" w:right="121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d243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d243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d2430"/>
        <w:lang w:val="en"/>
      </w:rPr>
    </w:rPrDefault>
    <w:pPrDefault>
      <w:pPr>
        <w:spacing w:after="10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Rule="auto"/>
    </w:pPr>
    <w:rPr>
      <w:rFonts w:ascii="Play" w:cs="Play" w:eastAsia="Play" w:hAnsi="Play"/>
      <w:b w:val="1"/>
      <w:bCs w:val="1"/>
      <w:color w:val="172a4d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</w:pPr>
    <w:rPr>
      <w:rFonts w:ascii="Play" w:cs="Play" w:eastAsia="Play" w:hAnsi="Play"/>
      <w:b w:val="1"/>
      <w:bCs w:val="1"/>
      <w:color w:val="172a4d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00" w:lineRule="auto"/>
    </w:pPr>
    <w:rPr>
      <w:rFonts w:ascii="Play" w:cs="Play" w:eastAsia="Play" w:hAnsi="Play"/>
      <w:b w:val="1"/>
      <w:bCs w:val="1"/>
      <w:color w:val="e6814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20" w:before="0" w:line="240" w:lineRule="auto"/>
    </w:pPr>
    <w:rPr>
      <w:rFonts w:ascii="Play" w:cs="Play" w:eastAsia="Play" w:hAnsi="Play"/>
      <w:b w:val="1"/>
      <w:bCs w:val="1"/>
      <w:color w:val="172a4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2" w:customStyle="1">
    <w:name w:val="Subtitle2"/>
    <w:rPr>
      <w:rFonts w:ascii="Aptos" w:hAnsi="Aptos"/>
      <w:i w:val="1"/>
      <w:color w:val="6b7280"/>
      <w:sz w:val="2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Luciana-y/DepaRent" TargetMode="External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s5gEubRIffCGNuVfRSBqoyXNmw==">CgMxLjAaJQoBMBIgCh4IB0IaCg9UaW1lcyBOZXcgUm9tYW4SB0d1bmdzdWg4AHIhMWFxcWkzNjh1cGROWS1CMkdhVVdqdnBXY2JteFJGeEFx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DepaRent</dc:creator>
</cp:coreProperties>
</file>