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ArgenBot – Documentación Técnica Final</w:t>
      </w:r>
    </w:p>
    <w:p>
      <w:pPr>
        <w:pStyle w:val="Heading2"/>
      </w:pPr>
      <w:r>
        <w:t>Resumen Ejecutivo</w:t>
      </w:r>
    </w:p>
    <w:p>
      <w:r>
        <w:t>ArgenBot es un bot de trading automático en Python orientado a Binance Futures. Soporta tres modos de operación: paper (simulación local), demo (Binance Demo Trading) y real (Binance real). La arquitectura está diseñada para ser modular, segura y extensible.</w:t>
      </w:r>
    </w:p>
    <w:p>
      <w:pPr>
        <w:pStyle w:val="Heading2"/>
      </w:pPr>
      <w:r>
        <w:t>Arquitectura General</w:t>
      </w:r>
    </w:p>
    <w:p>
      <w:r>
        <w:t>El sistema se divide en módulos independientes: exchange, strategy, risk y core. Esto permite desacoplar la lógica de trading del acceso al exchange.</w:t>
      </w:r>
    </w:p>
    <w:p>
      <w:pPr>
        <w:pStyle w:val="Heading2"/>
      </w:pPr>
      <w:r>
        <w:t>Configuración (.env)</w:t>
      </w:r>
    </w:p>
    <w:p>
      <w:r>
        <w:t>La configuración del sistema se realiza completamente mediante variables de entorno, permitiendo cambiar de modo sin modificar el código.</w:t>
      </w:r>
    </w:p>
    <w:p>
      <w:pPr>
        <w:pStyle w:val="Heading2"/>
      </w:pPr>
      <w:r>
        <w:t>Exchange Client</w:t>
      </w:r>
    </w:p>
    <w:p>
      <w:r>
        <w:t>El BinanceClient abstrae el acceso a Binance mediante ccxt. Gestiona balance, órdenes, posiciones y datos de mercado, adaptándose automáticamente al modo paper, demo o real.</w:t>
      </w:r>
    </w:p>
    <w:p>
      <w:pPr>
        <w:pStyle w:val="Heading2"/>
      </w:pPr>
      <w:r>
        <w:t>Estado Actual del Proyecto</w:t>
      </w:r>
    </w:p>
    <w:p>
      <w:r>
        <w:t>El proyecto se encuentra en un estado de MVP técnico estable. Está listo para desarrollo de estrategias, backtesting y pruebas en demo, pero aún no para operación real sin un risk manager completo.</w:t>
      </w:r>
    </w:p>
    <w:p>
      <w:pPr>
        <w:pStyle w:val="Heading2"/>
      </w:pPr>
      <w:r>
        <w:t>Próximos Pasos</w:t>
      </w:r>
    </w:p>
    <w:p>
      <w:r>
        <w:t>Implementar motor de backtesting, risk manager avanzado, persistencia de datos y manejo de errores de nivel productivo.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