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979.3963254593184" w:firstLine="0"/>
        <w:jc w:val="center"/>
        <w:rPr>
          <w:rFonts w:ascii="Montserrat Medium" w:cs="Montserrat Medium" w:eastAsia="Montserrat Medium" w:hAnsi="Montserrat Medium"/>
          <w:sz w:val="36"/>
          <w:szCs w:val="3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40"/>
          <w:szCs w:val="40"/>
          <w:rtl w:val="0"/>
        </w:rPr>
        <w:t xml:space="preserve">UNIVERSIDAD TECNOLÓGICA NACIONAL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Facultad Regional Córdoba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1521883</wp:posOffset>
            </wp:positionH>
            <wp:positionV relativeFrom="paragraph">
              <wp:posOffset>905133</wp:posOffset>
            </wp:positionV>
            <wp:extent cx="2171700" cy="24288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979.3963254593184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979.3963254593184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979.3963254593184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6"/>
          <w:szCs w:val="36"/>
          <w:rtl w:val="0"/>
        </w:rPr>
        <w:t xml:space="preserve">ING.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979.3963254593184"/>
        <w:jc w:val="center"/>
        <w:rPr>
          <w:rFonts w:ascii="Montserrat SemiBold" w:cs="Montserrat SemiBold" w:eastAsia="Montserrat SemiBold" w:hAnsi="Montserrat SemiBo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979.3963254593184"/>
        <w:jc w:val="center"/>
        <w:rPr>
          <w:rFonts w:ascii="Montserrat SemiBold" w:cs="Montserrat SemiBold" w:eastAsia="Montserrat SemiBold" w:hAnsi="Montserrat SemiBold"/>
          <w:color w:val="666666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666666"/>
          <w:sz w:val="28"/>
          <w:szCs w:val="28"/>
          <w:rtl w:val="0"/>
        </w:rPr>
        <w:t xml:space="preserve">INGENIERÍA Y CALIDAD DE SOFTWARE </w:t>
      </w:r>
    </w:p>
    <w:p w:rsidR="00000000" w:rsidDel="00000000" w:rsidP="00000000" w:rsidRDefault="00000000" w:rsidRPr="00000000" w14:paraId="00000007">
      <w:pPr>
        <w:ind w:right="979.3963254593184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666666"/>
          <w:sz w:val="28"/>
          <w:szCs w:val="28"/>
          <w:rtl w:val="0"/>
        </w:rPr>
        <w:t xml:space="preserve">TP11: TESTING – Ejecución de Casos de Prueba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979.3963254593184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GRUPO 9 - 4k4</w:t>
      </w:r>
    </w:p>
    <w:p w:rsidR="00000000" w:rsidDel="00000000" w:rsidP="00000000" w:rsidRDefault="00000000" w:rsidRPr="00000000" w14:paraId="00000009">
      <w:pPr>
        <w:ind w:right="979.3963254593184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979.3963254593184"/>
        <w:jc w:val="both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6.666666666667"/>
        <w:gridCol w:w="6573.333333333334"/>
        <w:tblGridChange w:id="0">
          <w:tblGrid>
            <w:gridCol w:w="2756.666666666667"/>
            <w:gridCol w:w="6573.333333333334"/>
          </w:tblGrid>
        </w:tblGridChange>
      </w:tblGrid>
      <w:tr>
        <w:trPr>
          <w:cantSplit w:val="0"/>
          <w:trHeight w:val="960.330666666664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-141.7322834645669" w:right="365.74803149606316" w:firstLine="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 DOCENTES</w:t>
            </w:r>
          </w:p>
        </w:tc>
        <w:tc>
          <w:tcPr>
            <w:tcBorders>
              <w:top w:color="ffffff" w:space="0" w:sz="8" w:val="single"/>
              <w:left w:color="666666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Laura Covaro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Mickaela Crespo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Georgina González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Constanza Garnero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Montserrat SemiBold" w:cs="Montserrat SemiBold" w:eastAsia="Montserrat SemiBold" w:hAnsi="Montserrat SemiBold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17.3228346456694" w:top="1417.3228346456694" w:left="1700.7874015748032" w:right="718.937007874016" w:header="0" w:footer="720.0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979.3963254593184" w:firstLine="0"/>
        <w:jc w:val="both"/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4.21259842519646" w:tblpY="0"/>
        <w:tblW w:w="886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666666" w:space="0" w:sz="12" w:val="single"/>
            </w:tcBorders>
          </w:tcPr>
          <w:p w:rsidR="00000000" w:rsidDel="00000000" w:rsidP="00000000" w:rsidRDefault="00000000" w:rsidRPr="00000000" w14:paraId="00000012">
            <w:pPr>
              <w:ind w:right="615.7480314960632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ffffff" w:space="0" w:sz="8" w:val="single"/>
              <w:left w:color="666666" w:space="0" w:sz="12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Bertero Luciano- Leg: 80069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Cociglio Matias- Leg: 91651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Cuello Martín- Leg: 75325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Cesar Jorge Fidel- Leg: 75931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Martin Garcia Andres- Leg: 79106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Rodriguez Milena- Leg: 81323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right="979.3963254593184" w:hanging="360"/>
              <w:jc w:val="both"/>
              <w:rPr>
                <w:rFonts w:ascii="Montserrat SemiBold" w:cs="Montserrat SemiBold" w:eastAsia="Montserrat SemiBold" w:hAnsi="Montserrat SemiBold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 xml:space="preserve">Romio Verónica- Leg: 79596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  <w:sectPr>
          <w:type w:val="continuous"/>
          <w:pgSz w:h="16838" w:w="11906" w:orient="portrait"/>
          <w:pgMar w:bottom="1417.3228346456694" w:top="1417.3228346456694" w:left="1700.7874015748032" w:right="860.6692913385831" w:header="0" w:footer="720.0000000000001"/>
          <w:cols w:equalWidth="0" w:num="1">
            <w:col w:space="0" w:w="9344.04"/>
          </w:cols>
        </w:sectPr>
      </w:pPr>
      <w:bookmarkStart w:colFirst="0" w:colLast="0" w:name="_30ebcgy6ajr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0amdlavcyhc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0amdlavcy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p5aai5q4q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Consigna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tqkiwgdgq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ermijdhey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Bibliografía.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4p5aai5q4qrc" w:id="2"/>
      <w:bookmarkEnd w:id="2"/>
      <w:r w:rsidDel="00000000" w:rsidR="00000000" w:rsidRPr="00000000">
        <w:rPr>
          <w:rtl w:val="0"/>
        </w:rPr>
        <w:t xml:space="preserve">Consigna</w:t>
      </w: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8085"/>
        <w:tblGridChange w:id="0">
          <w:tblGrid>
            <w:gridCol w:w="17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Nro. 4: Aseguramiento de Calidad de Proceso y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Ejecute</w:t>
            </w:r>
            <w:r w:rsidDel="00000000" w:rsidR="00000000" w:rsidRPr="00000000">
              <w:rPr>
                <w:rtl w:val="0"/>
              </w:rPr>
              <w:t xml:space="preserve"> los casos de pruebas de caja negra diseñados.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el estudiante pueda aplicar los distintos aspectos del testing, desde la planificación hasta la ejecución de las pruebas.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Comprender cómo se realiza la ejecución de los casos de prueba diseñados.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Conceptos teóricos sobre el tema desarrollados en clase. Bibliografía referenciada sobre el tema.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Planilla de Excel con User Story, Plantilla de Casos de Prueba y Reporte de Defectos DeliverEat_Template_Caso_De_Prueba_Defectos.xlsx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Excel con Clases de Equivalencias identificadas y Casos de Prueba diseñados en el Trabajo Práctico 11 “Testing – Métodos de Caja Negra”.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Ejecución y Reporte de Defectos.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y ejecutar la User Story a probar en base a la implementación de otro grupo del curso.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Ejecutar los Casos de Prueba diseñados y registrar los Defectos encontrados completando la Plantilla correspondiente.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mtqkiwgdgqim" w:id="3"/>
      <w:bookmarkEnd w:id="3"/>
      <w:r w:rsidDel="00000000" w:rsidR="00000000" w:rsidRPr="00000000">
        <w:rPr>
          <w:rtl w:val="0"/>
        </w:rPr>
        <w:t xml:space="preserve">Desarrollo.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Reutilizando las Clases de Equivalencias y Casos de Prueba diseñados en el TP “Testing - Métodos de Caja Negra” y la User Story “Publicar Pedido de Envío” implementada por el grupo 10 en el TP “Implementación de User Stories”, procedimos a la búsqueda de bugs en la ejecución de la user story, con su correspondiente documentación, dicho de otra forma, procedimos a aplicar el método de caja negra para buscar errores en el correcto funcionamiento del programa, escribiendo sus características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germijdheyrt" w:id="4"/>
      <w:bookmarkEnd w:id="4"/>
      <w:r w:rsidDel="00000000" w:rsidR="00000000" w:rsidRPr="00000000">
        <w:rPr>
          <w:rtl w:val="0"/>
        </w:rPr>
        <w:t xml:space="preserve">Bibliografía.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a las Pruebas de Sistemas de Información - Federico Toledo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Testing Fourth Edition - Paul C. Jorgensen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 of Software Testing Third Edition - Glenford J. Myers - Corey Sandler - Tom Badgett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133.8582677165355" w:right="861.732283464567" w:header="0" w:footer="720.0000000000001"/>
      <w:cols w:equalWidth="0" w:num="1">
        <w:col w:space="0" w:w="9909.92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1781175</wp:posOffset>
          </wp:positionH>
          <wp:positionV relativeFrom="paragraph">
            <wp:posOffset>-143761</wp:posOffset>
          </wp:positionV>
          <wp:extent cx="2151563" cy="741637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>
                    <a:alphaModFix amt="4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1563" cy="74163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MontserratMedium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MontserratMedium-italic.ttf"/><Relationship Id="rId14" Type="http://schemas.openxmlformats.org/officeDocument/2006/relationships/font" Target="fonts/MontserratMedium-bold.ttf"/><Relationship Id="rId16" Type="http://schemas.openxmlformats.org/officeDocument/2006/relationships/font" Target="fonts/Montserrat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