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rPr>
          <w:b/>
          <w:bCs/>
          <w:color w:val="0d47a1"/>
          <w:sz w:val="30"/>
          <w:szCs w:val="30"/>
        </w:rPr>
        <w:t xml:space="preserve">Pedidos360 — Guion de Presentación</w:t>
      </w:r>
    </w:p>
    <w:p>
      <w:pPr>
        <w:spacing w:after="300"/>
      </w:pPr>
      <w:r>
        <w:rPr>
          <w:i/>
          <w:iCs/>
          <w:color w:val="666666"/>
          <w:sz w:val="22"/>
          <w:szCs w:val="22"/>
        </w:rPr>
        <w:t xml:space="preserve">EP2 · Luciano Castelli &amp; Martín Jaque · DSY1107 · Duración total: 8–10 minutos</w:t>
      </w:r>
    </w:p>
    <w:p>
      <w:pPr>
        <w:spacing w:after="100"/>
      </w:pPr>
      <w:r>
        <w:rPr>
          <w:b/>
          <w:bCs/>
          <w:color w:val="0d47a1"/>
          <w:sz w:val="24"/>
          <w:szCs w:val="24"/>
        </w:rPr>
        <w:t xml:space="preserve">Cómo usar este guion</w:t>
      </w:r>
    </w:p>
    <w:p>
      <w:pPr>
        <w:pStyle w:val="ListParagraph"/>
        <w:numPr>
          <w:ilvl w:val="0"/>
          <w:numId w:val="1"/>
        </w:numPr>
        <w:spacing w:after="60"/>
      </w:pPr>
      <w:r>
        <w:rPr>
          <w:sz w:val="21"/>
          <w:szCs w:val="21"/>
        </w:rPr>
        <w:t xml:space="preserve">El reparto (quién dice qué) es una sugerencia según lo que cada uno trabajó más de cerca. Si les acomoda más al revés, cambien los nombres — lo importante es que ambos hablen y ambos puedan responder preguntas de cualquier parte.</w:t>
      </w:r>
    </w:p>
    <w:p>
      <w:pPr>
        <w:pStyle w:val="ListParagraph"/>
        <w:numPr>
          <w:ilvl w:val="0"/>
          <w:numId w:val="1"/>
        </w:numPr>
        <w:spacing w:after="60"/>
      </w:pPr>
      <w:r>
        <w:rPr>
          <w:sz w:val="21"/>
          <w:szCs w:val="21"/>
        </w:rPr>
        <w:t xml:space="preserve">No lean el guion palabra por palabra frente al profesor — apréndanse la idea de cada bloque y díganlo con sus palabras. Lo escrito acá es para que no se les olvide ningún punto de la rúbrica, no para recitar.</w:t>
      </w:r>
    </w:p>
    <w:p>
      <w:pPr>
        <w:pStyle w:val="ListParagraph"/>
        <w:numPr>
          <w:ilvl w:val="0"/>
          <w:numId w:val="1"/>
        </w:numPr>
        <w:spacing w:after="60"/>
      </w:pPr>
      <w:r>
        <w:rPr>
          <w:sz w:val="21"/>
          <w:szCs w:val="21"/>
        </w:rPr>
        <w:t xml:space="preserve">Cada bloque tiene un tiempo sugerido — si ven que se están pasando, salten al bloque 6 (validación del JWT) porque es el que más pondera (20%).</w:t>
      </w:r>
    </w:p>
    <w:p>
      <w:pPr>
        <w:pStyle w:val="ListParagraph"/>
        <w:numPr>
          <w:ilvl w:val="0"/>
          <w:numId w:val="1"/>
        </w:numPr>
        <w:spacing w:after="60"/>
      </w:pPr>
      <w:r>
        <w:rPr>
          <w:sz w:val="21"/>
          <w:szCs w:val="21"/>
        </w:rPr>
        <w:t xml:space="preserve">Si algo falla en vivo (se cae el WiFi, expira el token, etc.), tienen las 21 capturas de la carpeta Evidencia-Presentacion como respaldo — díganlo con naturalidad: "esto lo tenemos guardado también por si la conexión falla" y muestren la captura.</w:t>
      </w:r>
    </w:p>
    <w:p>
      <w:pPr>
        <w:spacing w:after="100" w:before="200"/>
      </w:pPr>
      <w:r>
        <w:rPr>
          <w:b/>
          <w:bCs/>
          <w:color w:val="0d47a1"/>
          <w:sz w:val="24"/>
          <w:szCs w:val="24"/>
        </w:rPr>
        <w:t xml:space="preserve">Antes de entrar a la sala, dejen abierto:</w:t>
      </w:r>
    </w:p>
    <w:p>
      <w:pPr>
        <w:pStyle w:val="ListParagraph"/>
        <w:numPr>
          <w:ilvl w:val="0"/>
          <w:numId w:val="1"/>
        </w:numPr>
        <w:spacing w:after="60"/>
      </w:pPr>
      <w:r>
        <w:rPr>
          <w:sz w:val="21"/>
          <w:szCs w:val="21"/>
        </w:rPr>
        <w:t xml:space="preserve">Pestaña 1: Consola AWS → API Gateway → pedidos-api → Rutas (con las 5 ramas expandidas)</w:t>
      </w:r>
    </w:p>
    <w:p>
      <w:pPr>
        <w:pStyle w:val="ListParagraph"/>
        <w:numPr>
          <w:ilvl w:val="0"/>
          <w:numId w:val="1"/>
        </w:numPr>
        <w:spacing w:after="60"/>
      </w:pPr>
      <w:r>
        <w:rPr>
          <w:sz w:val="21"/>
          <w:szCs w:val="21"/>
        </w:rPr>
        <w:t xml:space="preserve">Pestaña 2: Frontend en http://localhost:4200, deslogueados (o en incógnito) para hacer el login en vivo</w:t>
      </w:r>
    </w:p>
    <w:p>
      <w:pPr>
        <w:pStyle w:val="ListParagraph"/>
        <w:numPr>
          <w:ilvl w:val="0"/>
          <w:numId w:val="1"/>
        </w:numPr>
        <w:spacing w:after="60"/>
      </w:pPr>
      <w:r>
        <w:rPr>
          <w:sz w:val="21"/>
          <w:szCs w:val="21"/>
        </w:rPr>
        <w:t xml:space="preserve">DevTools abierto en esa pestaña, tab Network, "Preserve log" activado, ANTES de hacer clic en login</w:t>
      </w:r>
    </w:p>
    <w:p>
      <w:pPr>
        <w:pStyle w:val="ListParagraph"/>
        <w:numPr>
          <w:ilvl w:val="0"/>
          <w:numId w:val="1"/>
        </w:numPr>
        <w:spacing w:after="60"/>
      </w:pPr>
      <w:r>
        <w:rPr>
          <w:sz w:val="21"/>
          <w:szCs w:val="21"/>
        </w:rPr>
        <w:t xml:space="preserve">Pestaña 3: Postman con el request armado (URL del Gateway + /clientes), lista para togglear el header Authorization</w:t>
      </w:r>
    </w:p>
    <w:p>
      <w:pPr>
        <w:pStyle w:val="ListParagraph"/>
        <w:numPr>
          <w:ilvl w:val="0"/>
          <w:numId w:val="1"/>
        </w:numPr>
        <w:spacing w:after="60"/>
      </w:pPr>
      <w:r>
        <w:rPr>
          <w:sz w:val="21"/>
          <w:szCs w:val="21"/>
        </w:rPr>
        <w:t xml:space="preserve">Pestaña 4: Azure Portal → Microsoft Entra ID → Información general</w:t>
      </w:r>
    </w:p>
    <w:p>
      <w:pPr>
        <w:pStyle w:val="ListParagraph"/>
        <w:numPr>
          <w:ilvl w:val="0"/>
          <w:numId w:val="1"/>
        </w:numPr>
        <w:spacing w:after="60"/>
      </w:pPr>
      <w:r>
        <w:rPr>
          <w:sz w:val="21"/>
          <w:szCs w:val="21"/>
        </w:rPr>
        <w:t xml:space="preserve">Pestaña 5: Terminal con SSH ya conectado a la instancia EC2 (o la consola EC2 abierta)</w:t>
      </w:r>
    </w:p>
    <w:p>
      <w:pPr>
        <w:pStyle w:val="ListParagraph"/>
        <w:numPr>
          <w:ilvl w:val="0"/>
          <w:numId w:val="1"/>
        </w:numPr>
        <w:spacing w:after="60"/>
      </w:pPr>
      <w:r>
        <w:rPr>
          <w:sz w:val="21"/>
          <w:szCs w:val="21"/>
        </w:rPr>
        <w:t xml:space="preserve">Carpeta Evidencia-Presentacion abierta en el explorador de archivos, por si necesitan mostrar una captura de respaldo</w:t>
      </w:r>
    </w:p>
    <w:p>
      <w:pPr>
        <w:pStyle w:val="Heading2"/>
        <w:pBdr>
          <w:bottom w:val="single" w:color="1a73e8" w:sz="6" w:space="4"/>
        </w:pBdr>
        <w:spacing w:after="80" w:before="320"/>
      </w:pPr>
      <w:r>
        <w:rPr>
          <w:b/>
          <w:bCs/>
          <w:color w:val="1a73e8"/>
          <w:sz w:val="24"/>
          <w:szCs w:val="24"/>
        </w:rPr>
        <w:t xml:space="preserve">0:00 – 0:40  ·  </w:t>
      </w:r>
      <w:r>
        <w:rPr>
          <w:b/>
          <w:bCs/>
          <w:color w:val="0d47a1"/>
          <w:sz w:val="24"/>
          <w:szCs w:val="24"/>
        </w:rPr>
        <w:t xml:space="preserve">Bloque 0 · Introducción</w:t>
      </w:r>
    </w:p>
    <w:p>
      <w:pPr>
        <w:spacing w:after="140"/>
        <w:ind w:left="200"/>
      </w:pPr>
      <w:r>
        <w:rPr>
          <w:b/>
          <w:bCs/>
          <w:color w:val="1a73e8"/>
          <w:sz w:val="22"/>
          <w:szCs w:val="22"/>
        </w:rPr>
        <w:t xml:space="preserve">LUCIANO: </w:t>
      </w:r>
      <w:r>
        <w:rPr>
          <w:sz w:val="22"/>
          <w:szCs w:val="22"/>
        </w:rPr>
        <w:t xml:space="preserve">Buenas tardes profesor. Somos Luciano Castelli y Martín Jaque, y le vamos a presentar Pedidos360, un sistema de gestión de pedidos con arquitectura de microservicios desplegado en AWS.</w:t>
      </w:r>
    </w:p>
    <w:p>
      <w:pPr>
        <w:spacing w:after="140"/>
        <w:ind w:left="200"/>
      </w:pPr>
      <w:r>
        <w:rPr>
          <w:b/>
          <w:bCs/>
          <w:color w:val="8e24aa"/>
          <w:sz w:val="22"/>
          <w:szCs w:val="22"/>
        </w:rPr>
        <w:t xml:space="preserve">MARTÍN: </w:t>
      </w:r>
      <w:r>
        <w:rPr>
          <w:sz w:val="22"/>
          <w:szCs w:val="22"/>
        </w:rPr>
        <w:t xml:space="preserve">En esta presentación le vamos a mostrar en vivo el flujo completo de autenticación y autorización: desde que un usuario inicia sesión con Azure AD, hasta que ese token viaja validado a través de nuestro API Gateway y llega a cada uno de los cinco microservicios.</w:t>
      </w:r>
    </w:p>
    <w:p>
      <w:pPr>
        <w:pStyle w:val="Heading2"/>
        <w:pBdr>
          <w:bottom w:val="single" w:color="1a73e8" w:sz="6" w:space="4"/>
        </w:pBdr>
        <w:spacing w:after="80" w:before="320"/>
      </w:pPr>
      <w:r>
        <w:rPr>
          <w:b/>
          <w:bCs/>
          <w:color w:val="1a73e8"/>
          <w:sz w:val="24"/>
          <w:szCs w:val="24"/>
        </w:rPr>
        <w:t xml:space="preserve">0:40 – 2:00  ·  </w:t>
      </w:r>
      <w:r>
        <w:rPr>
          <w:b/>
          <w:bCs/>
          <w:color w:val="0d47a1"/>
          <w:sz w:val="24"/>
          <w:szCs w:val="24"/>
        </w:rPr>
        <w:t xml:space="preserve">Bloque 1 · Arquitectura general</w:t>
      </w:r>
    </w:p>
    <w:p>
      <w:pPr>
        <w:spacing w:after="140"/>
        <w:ind w:left="200"/>
      </w:pPr>
      <w:r>
        <w:rPr>
          <w:b/>
          <w:bCs/>
          <w:color w:val="1a73e8"/>
          <w:sz w:val="22"/>
          <w:szCs w:val="22"/>
        </w:rPr>
        <w:t xml:space="preserve">LUCIANO: </w:t>
      </w:r>
      <w:r>
        <w:rPr>
          <w:sz w:val="22"/>
          <w:szCs w:val="22"/>
        </w:rPr>
        <w:t xml:space="preserve">La arquitectura tiene tres capas. Primero el frontend, hecho en Angular con la librería MSAL para manejar la autenticación con Azure AD. Segundo, el API Gateway de AWS, que es el único punto de entrada — el frontend nunca habla directo con los microservicios. Y tercero, el backend: cinco microservicios en Spring Boot — Clientes, Productos, Pedidos, Inventario y Pagos — corriendo en contenedores Docker sobre una instancia EC2.</w:t>
      </w:r>
    </w:p>
    <w:p>
      <w:pPr>
        <w:spacing w:after="140"/>
        <w:ind w:left="200"/>
      </w:pPr>
      <w:r>
        <w:rPr>
          <w:b/>
          <w:bCs/>
          <w:color w:val="1a73e8"/>
          <w:sz w:val="22"/>
          <w:szCs w:val="22"/>
        </w:rPr>
        <w:t xml:space="preserve">LUCIANO: </w:t>
      </w:r>
      <w:r>
        <w:rPr>
          <w:sz w:val="22"/>
          <w:szCs w:val="22"/>
        </w:rPr>
        <w:t xml:space="preserve">Como identidad usamos Microsoft Entra ID, que es el IDaaS de Microsoft. Ahí tenemos nuestro propio tenant, con nuestra aplicación registrada y nuestros usuarios.</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Opcional: mostrar un diagrama simple de la arquitectura, o simplemente narrar señalando las pestañas abiertas.</w:t>
      </w:r>
    </w:p>
    <w:p>
      <w:pPr>
        <w:pStyle w:val="Heading2"/>
        <w:pBdr>
          <w:bottom w:val="single" w:color="1a73e8" w:sz="6" w:space="4"/>
        </w:pBdr>
        <w:spacing w:after="80" w:before="320"/>
      </w:pPr>
      <w:r>
        <w:rPr>
          <w:b/>
          <w:bCs/>
          <w:color w:val="1a73e8"/>
          <w:sz w:val="24"/>
          <w:szCs w:val="24"/>
        </w:rPr>
        <w:t xml:space="preserve">2:00 – 3:15  ·  </w:t>
      </w:r>
      <w:r>
        <w:rPr>
          <w:b/>
          <w:bCs/>
          <w:color w:val="0d47a1"/>
          <w:sz w:val="24"/>
          <w:szCs w:val="24"/>
        </w:rPr>
        <w:t xml:space="preserve">Bloque 2 · API Gateway: rutas y CORS</w:t>
      </w:r>
    </w:p>
    <w:p>
      <w:pPr>
        <w:spacing w:after="140"/>
        <w:ind w:left="200"/>
      </w:pPr>
      <w:r>
        <w:rPr>
          <w:b/>
          <w:bCs/>
          <w:color w:val="1a73e8"/>
          <w:sz w:val="22"/>
          <w:szCs w:val="22"/>
        </w:rPr>
        <w:t xml:space="preserve">LUCIANO: </w:t>
      </w:r>
      <w:r>
        <w:rPr>
          <w:sz w:val="22"/>
          <w:szCs w:val="22"/>
        </w:rPr>
        <w:t xml:space="preserve">Acá en la consola de AWS tenemos nuestra API, "pedidos-api", de tipo HTTP API. Si expandimos el árbol de rutas, van a ver que cada uno de los cinco microservicios tiene sus propias rutas — GET y POST en la ruta base, y GET, PUT y DELETE en la ruta con parámetro — cada una apuntando a su integración correspondiente hacia el backend.</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Mostrar la consola AWS con el árbol de Rutas expandido para los 5 servicios (captura 02).</w:t>
      </w:r>
    </w:p>
    <w:p>
      <w:pPr>
        <w:spacing w:after="140"/>
        <w:ind w:left="200"/>
      </w:pPr>
      <w:r>
        <w:rPr>
          <w:b/>
          <w:bCs/>
          <w:color w:val="8e24aa"/>
          <w:sz w:val="22"/>
          <w:szCs w:val="22"/>
        </w:rPr>
        <w:t xml:space="preserve">MARTÍN: </w:t>
      </w:r>
      <w:r>
        <w:rPr>
          <w:sz w:val="22"/>
          <w:szCs w:val="22"/>
        </w:rPr>
        <w:t xml:space="preserve">Y como el frontend corre en un origen distinto al del Gateway, configuramos CORS a nivel de API: solo aceptamos requests desde nuestro origen del frontend, con los headers de autorización y content-type habilitados, y los métodos GET, POST, PUT, DELETE. Esto lo centralizamos acá en vez de repetirlo en cada microservicio.</w:t>
      </w:r>
    </w:p>
    <w:p>
      <w:pPr>
        <w:pStyle w:val="Heading2"/>
        <w:pBdr>
          <w:bottom w:val="single" w:color="1a73e8" w:sz="6" w:space="4"/>
        </w:pBdr>
        <w:spacing w:after="80" w:before="320"/>
      </w:pPr>
      <w:r>
        <w:rPr>
          <w:b/>
          <w:bCs/>
          <w:color w:val="1a73e8"/>
          <w:sz w:val="24"/>
          <w:szCs w:val="24"/>
        </w:rPr>
        <w:t xml:space="preserve">3:15 – 5:00  ·  </w:t>
      </w:r>
      <w:r>
        <w:rPr>
          <w:b/>
          <w:bCs/>
          <w:color w:val="0d47a1"/>
          <w:sz w:val="24"/>
          <w:szCs w:val="24"/>
        </w:rPr>
        <w:t xml:space="preserve">Bloque 3 · Login con Azure AD (Authorization Code + PKCE)</w:t>
      </w:r>
    </w:p>
    <w:p>
      <w:pPr>
        <w:spacing w:after="140"/>
        <w:ind w:left="200"/>
      </w:pPr>
      <w:r>
        <w:rPr>
          <w:b/>
          <w:bCs/>
          <w:color w:val="8e24aa"/>
          <w:sz w:val="22"/>
          <w:szCs w:val="22"/>
        </w:rPr>
        <w:t xml:space="preserve">MARTÍN: </w:t>
      </w:r>
      <w:r>
        <w:rPr>
          <w:sz w:val="22"/>
          <w:szCs w:val="22"/>
        </w:rPr>
        <w:t xml:space="preserve">Ahora les mostramos el login en vivo. Tenemos el frontend deslogueado y DevTools abierto en la pestaña Network desde antes de hacer clic, para poder ver exactamente qué pasa por detrás.</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Hacer clic en "Iniciar sesión" en el frontend → se redirige a Microsoft.</w:t>
      </w:r>
    </w:p>
    <w:p>
      <w:pPr>
        <w:spacing w:after="140"/>
        <w:ind w:left="200"/>
      </w:pPr>
      <w:r>
        <w:rPr>
          <w:b/>
          <w:bCs/>
          <w:color w:val="8e24aa"/>
          <w:sz w:val="22"/>
          <w:szCs w:val="22"/>
        </w:rPr>
        <w:t xml:space="preserve">MARTÍN: </w:t>
      </w:r>
      <w:r>
        <w:rPr>
          <w:sz w:val="22"/>
          <w:szCs w:val="22"/>
        </w:rPr>
        <w:t xml:space="preserve">Acá, en la request hacia /authorize, se puede ver que viaja un code_challenge y un state — eso es porque usamos el flujo Authorization Code con PKCE, que es el que MSAL usa por defecto para aplicaciones de una sola página. Como el frontend corre en el navegador, no puede guardar un secreto de forma segura, así que en vez de un client secret se genera este par: un code_verifier que se queda en el navegador, y su versión hasheada, el code_challenge, que es la que se manda en esta primera request.</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Señalar en la URL o en Headers de la request /authorize los parámetros code_challenge, code_challenge_method=S256 y state (captura 06-pkce-authorize).</w:t>
      </w:r>
    </w:p>
    <w:p>
      <w:pPr>
        <w:spacing w:after="140"/>
        <w:ind w:left="200"/>
      </w:pPr>
      <w:r>
        <w:rPr>
          <w:b/>
          <w:bCs/>
          <w:color w:val="8e24aa"/>
          <w:sz w:val="22"/>
          <w:szCs w:val="22"/>
        </w:rPr>
        <w:t xml:space="preserve">MARTÍN: </w:t>
      </w:r>
      <w:r>
        <w:rPr>
          <w:sz w:val="22"/>
          <w:szCs w:val="22"/>
        </w:rPr>
        <w:t xml:space="preserve">Después de que el usuario se autentica en Microsoft, el navegador vuelve con un código, y el frontend hace un POST a /token. Ahí es donde se manda el code_verifier original, para que Azure AD compruebe que quien está pidiendo el token es el mismo que inició el flujo — así se evita que alguien intercepte el código y lo use por su cuenta.</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Mostrar el Payload de la request POST /token con el code_verifier (captura 06-pkce-token-exchange).</w:t>
      </w:r>
    </w:p>
    <w:p>
      <w:pPr>
        <w:pStyle w:val="Heading2"/>
        <w:pBdr>
          <w:bottom w:val="single" w:color="1a73e8" w:sz="6" w:space="4"/>
        </w:pBdr>
        <w:spacing w:after="80" w:before="320"/>
      </w:pPr>
      <w:r>
        <w:rPr>
          <w:b/>
          <w:bCs/>
          <w:color w:val="1a73e8"/>
          <w:sz w:val="24"/>
          <w:szCs w:val="24"/>
        </w:rPr>
        <w:t xml:space="preserve">5:00 – 5:40  ·  </w:t>
      </w:r>
      <w:r>
        <w:rPr>
          <w:b/>
          <w:bCs/>
          <w:color w:val="0d47a1"/>
          <w:sz w:val="24"/>
          <w:szCs w:val="24"/>
        </w:rPr>
        <w:t xml:space="preserve">Bloque 4 · El token obtenido</w:t>
      </w:r>
    </w:p>
    <w:p>
      <w:pPr>
        <w:spacing w:after="140"/>
        <w:ind w:left="200"/>
      </w:pPr>
      <w:r>
        <w:rPr>
          <w:b/>
          <w:bCs/>
          <w:color w:val="8e24aa"/>
          <w:sz w:val="22"/>
          <w:szCs w:val="22"/>
        </w:rPr>
        <w:t xml:space="preserve">MARTÍN: </w:t>
      </w:r>
      <w:r>
        <w:rPr>
          <w:sz w:val="22"/>
          <w:szCs w:val="22"/>
        </w:rPr>
        <w:t xml:space="preserve">Con eso ya estamos logueados y tenemos un JWT. Si lo decodificamos, se ve que el issuer corresponde a nuestro tenant, el audience es el ID de nuestra aplicación registrada, y viene en versión 2.0 del token de Azure AD, que es la que necesitábamos para que el Gateway pueda validar el token automáticamente.</w:t>
      </w:r>
    </w:p>
    <w:p>
      <w:pPr>
        <w:pBdr>
          <w:left w:val="single" w:color="1a73e8" w:sz="12" w:space="6"/>
        </w:pBdr>
        <w:shd w:fill="E8F0FE" w:val="clear"/>
        <w:spacing w:after="200" w:before="60"/>
      </w:pPr>
      <w:r>
        <w:rPr>
          <w:sz w:val="19"/>
          <w:szCs w:val="19"/>
        </w:rPr>
        <w:t xml:space="preserve">💡 </w:t>
      </w:r>
      <w:r>
        <w:rPr>
          <w:color w:val="0d47a1"/>
          <w:sz w:val="19"/>
          <w:szCs w:val="19"/>
        </w:rPr>
        <w:t xml:space="preserve">Datos del token si preguntan: issuer https://login.microsoftonline.com/37e13a6f-33ab-44ae-8cf6-c0f8d4cd40df/v2.0 — audience f2e886fe-a3b6-46fe-affe-61b4ea743f2a.</w:t>
      </w:r>
    </w:p>
    <w:p>
      <w:pPr>
        <w:pStyle w:val="Heading2"/>
        <w:pBdr>
          <w:bottom w:val="single" w:color="1a73e8" w:sz="6" w:space="4"/>
        </w:pBdr>
        <w:spacing w:after="80" w:before="320"/>
      </w:pPr>
      <w:r>
        <w:rPr>
          <w:b/>
          <w:bCs/>
          <w:color w:val="1a73e8"/>
          <w:sz w:val="24"/>
          <w:szCs w:val="24"/>
        </w:rPr>
        <w:t xml:space="preserve">5:40 – 6:20  ·  </w:t>
      </w:r>
      <w:r>
        <w:rPr>
          <w:b/>
          <w:bCs/>
          <w:color w:val="0d47a1"/>
          <w:sz w:val="24"/>
          <w:szCs w:val="24"/>
        </w:rPr>
        <w:t xml:space="preserve">Bloque 5 · El frontend consume el Gateway</w:t>
      </w:r>
    </w:p>
    <w:p>
      <w:pPr>
        <w:spacing w:after="140"/>
        <w:ind w:left="200"/>
      </w:pPr>
      <w:r>
        <w:rPr>
          <w:b/>
          <w:bCs/>
          <w:color w:val="1a73e8"/>
          <w:sz w:val="22"/>
          <w:szCs w:val="22"/>
        </w:rPr>
        <w:t xml:space="preserve">LUCIANO: </w:t>
      </w:r>
      <w:r>
        <w:rPr>
          <w:sz w:val="22"/>
          <w:szCs w:val="22"/>
        </w:rPr>
        <w:t xml:space="preserve">Ya con la sesión iniciada, el frontend consulta el módulo de Clientes. Si miramos la request en Network, no le pega directo al microservicio — la URL apunta al dominio del API Gateway. Ahí llega el token en el header Authorization, el Gateway lo valida, y solo si es válido reenvía la petición al backend. La respuesta llega con código 200 y con los headers de CORS que configuramos antes.</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Mostrar el listado de Clientes cargado junto con la request en Network: URL del Gateway, 200 OK, header Access-Control-Allow-Origin (captura 03).</w:t>
      </w:r>
    </w:p>
    <w:p>
      <w:pPr>
        <w:pStyle w:val="Heading2"/>
        <w:pBdr>
          <w:bottom w:val="single" w:color="1a73e8" w:sz="6" w:space="4"/>
        </w:pBdr>
        <w:spacing w:after="80" w:before="320"/>
      </w:pPr>
      <w:r>
        <w:rPr>
          <w:b/>
          <w:bCs/>
          <w:color w:val="1a73e8"/>
          <w:sz w:val="24"/>
          <w:szCs w:val="24"/>
        </w:rPr>
        <w:t xml:space="preserve">6:20 – 8:00  ·  </w:t>
      </w:r>
      <w:r>
        <w:rPr>
          <w:b/>
          <w:bCs/>
          <w:color w:val="0d47a1"/>
          <w:sz w:val="24"/>
          <w:szCs w:val="24"/>
        </w:rPr>
        <w:t xml:space="preserve">Bloque 6 · El Gateway valida el JWT en cada endpoint</w:t>
      </w:r>
    </w:p>
    <w:p>
      <w:pPr>
        <w:spacing w:after="140"/>
        <w:ind w:left="200"/>
      </w:pPr>
      <w:r>
        <w:rPr>
          <w:b/>
          <w:bCs/>
          <w:color w:val="1a73e8"/>
          <w:sz w:val="22"/>
          <w:szCs w:val="22"/>
        </w:rPr>
        <w:t xml:space="preserve">LUCIANO: </w:t>
      </w:r>
      <w:r>
        <w:rPr>
          <w:sz w:val="22"/>
          <w:szCs w:val="22"/>
        </w:rPr>
        <w:t xml:space="preserve">Este es el punto más importante de toda la arquitectura, así que se lo mostramos directo con Postman, sin pasar por el frontend.</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En Postman, hacer GET a /clientes SIN el header Authorization → mostrar 401 Unauthorized.</w:t>
      </w:r>
    </w:p>
    <w:p>
      <w:pPr>
        <w:spacing w:after="140"/>
        <w:ind w:left="200"/>
      </w:pPr>
      <w:r>
        <w:rPr>
          <w:b/>
          <w:bCs/>
          <w:color w:val="1a73e8"/>
          <w:sz w:val="22"/>
          <w:szCs w:val="22"/>
        </w:rPr>
        <w:t xml:space="preserve">LUCIANO: </w:t>
      </w:r>
      <w:r>
        <w:rPr>
          <w:sz w:val="22"/>
          <w:szCs w:val="22"/>
        </w:rPr>
        <w:t xml:space="preserve">Sin token, el Gateway rechaza la request con 401 antes de que llegue al microservicio — el backend ni se entera de que existió esta petición.</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Activar el header Authorization con el Bearer token → Send de nuevo → mostrar 200 OK con los datos.</w:t>
      </w:r>
    </w:p>
    <w:p>
      <w:pPr>
        <w:spacing w:after="140"/>
        <w:ind w:left="200"/>
      </w:pPr>
      <w:r>
        <w:rPr>
          <w:b/>
          <w:bCs/>
          <w:color w:val="1a73e8"/>
          <w:sz w:val="22"/>
          <w:szCs w:val="22"/>
        </w:rPr>
        <w:t xml:space="preserve">LUCIANO: </w:t>
      </w:r>
      <w:r>
        <w:rPr>
          <w:sz w:val="22"/>
          <w:szCs w:val="22"/>
        </w:rPr>
        <w:t xml:space="preserve">Con el token válido, la misma request ahora devuelve 200. Y esto no es solo para Clientes — lo mismo pasa en los cinco microservicios, porque cada uno tiene su propio Authorizer de tipo JWT asociado a todas sus rutas.</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Repetir rápido el mismo par (sin token / con token) en Productos o Pedidos para demostrar que es consistente en todos los servicios.</w:t>
      </w:r>
    </w:p>
    <w:p>
      <w:pPr>
        <w:spacing w:after="140"/>
        <w:ind w:left="200"/>
      </w:pPr>
      <w:r>
        <w:rPr>
          <w:b/>
          <w:bCs/>
          <w:color w:val="8e24aa"/>
          <w:sz w:val="22"/>
          <w:szCs w:val="22"/>
        </w:rPr>
        <w:t xml:space="preserve">MARTÍN: </w:t>
      </w:r>
      <w:r>
        <w:rPr>
          <w:sz w:val="22"/>
          <w:szCs w:val="22"/>
        </w:rPr>
        <w:t xml:space="preserve">Técnicamente, el Authorizer usa el mecanismo de descubrimiento OIDC de Azure AD para obtener las claves públicas, valida la firma del token, y además revisa que el issuer y el audience coincidan exactamente con los que configuramos. Si cualquiera de esos datos no calza, o el token expiró, lo rechaza altiro — el microservicio nunca llega a ejecutarse.</w:t>
      </w:r>
    </w:p>
    <w:p>
      <w:pPr>
        <w:pStyle w:val="Heading2"/>
        <w:pBdr>
          <w:bottom w:val="single" w:color="1a73e8" w:sz="6" w:space="4"/>
        </w:pBdr>
        <w:spacing w:after="80" w:before="320"/>
      </w:pPr>
      <w:r>
        <w:rPr>
          <w:b/>
          <w:bCs/>
          <w:color w:val="1a73e8"/>
          <w:sz w:val="24"/>
          <w:szCs w:val="24"/>
        </w:rPr>
        <w:t xml:space="preserve">8:00 – 8:40  ·  </w:t>
      </w:r>
      <w:r>
        <w:rPr>
          <w:b/>
          <w:bCs/>
          <w:color w:val="0d47a1"/>
          <w:sz w:val="24"/>
          <w:szCs w:val="24"/>
        </w:rPr>
        <w:t xml:space="preserve">Bloque 7 · Tenant y usuarios en Azure AD</w:t>
      </w:r>
    </w:p>
    <w:p>
      <w:pPr>
        <w:spacing w:after="140"/>
        <w:ind w:left="200"/>
      </w:pPr>
      <w:r>
        <w:rPr>
          <w:b/>
          <w:bCs/>
          <w:color w:val="1a73e8"/>
          <w:sz w:val="22"/>
          <w:szCs w:val="22"/>
        </w:rPr>
        <w:t xml:space="preserve">LUCIANO: </w:t>
      </w:r>
      <w:r>
        <w:rPr>
          <w:sz w:val="22"/>
          <w:szCs w:val="22"/>
        </w:rPr>
        <w:t xml:space="preserve">Para que todo este flujo funcione necesitamos un proveedor de identidad real detrás, que en nuestro caso es Microsoft Entra ID. Este es nuestro tenant, con su propio Tenant ID y dominio, y acá la lista de usuarios registrados: mi cuenta y la de Martín.</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Mostrar Entra ID → Información general (Tenant ID) y luego Usuarios con la lista (capturas 05).</w:t>
      </w:r>
    </w:p>
    <w:p>
      <w:pPr>
        <w:pStyle w:val="Heading2"/>
        <w:pBdr>
          <w:bottom w:val="single" w:color="1a73e8" w:sz="6" w:space="4"/>
        </w:pBdr>
        <w:spacing w:after="80" w:before="320"/>
      </w:pPr>
      <w:r>
        <w:rPr>
          <w:b/>
          <w:bCs/>
          <w:color w:val="1a73e8"/>
          <w:sz w:val="24"/>
          <w:szCs w:val="24"/>
        </w:rPr>
        <w:t xml:space="preserve">8:40 – 9:20  ·  </w:t>
      </w:r>
      <w:r>
        <w:rPr>
          <w:b/>
          <w:bCs/>
          <w:color w:val="0d47a1"/>
          <w:sz w:val="24"/>
          <w:szCs w:val="24"/>
        </w:rPr>
        <w:t xml:space="preserve">Bloque 8 · Todo desplegado en la nube</w:t>
      </w:r>
    </w:p>
    <w:p>
      <w:pPr>
        <w:spacing w:after="140"/>
        <w:ind w:left="200"/>
      </w:pPr>
      <w:r>
        <w:rPr>
          <w:b/>
          <w:bCs/>
          <w:color w:val="8e24aa"/>
          <w:sz w:val="22"/>
          <w:szCs w:val="22"/>
        </w:rPr>
        <w:t xml:space="preserve">MARTÍN: </w:t>
      </w:r>
      <w:r>
        <w:rPr>
          <w:sz w:val="22"/>
          <w:szCs w:val="22"/>
        </w:rPr>
        <w:t xml:space="preserve">Por último, todo esto no está corriendo en nuestros computadores — el backend vive en una instancia EC2 en AWS. Acá pueden ver la instancia en estado Running, y si entramos por SSH y corremos docker ps, se ven los cinco microservicios y la base de datos, todos activos.</w:t>
      </w:r>
    </w:p>
    <w:p>
      <w:pPr>
        <w:pBdr>
          <w:left w:val="single" w:color="666666" w:sz="12" w:space="6"/>
        </w:pBdr>
        <w:shd w:fill="F2F2F2" w:val="clear"/>
        <w:spacing w:after="200" w:before="40"/>
        <w:ind w:left="200"/>
      </w:pPr>
      <w:r>
        <w:rPr>
          <w:b/>
          <w:bCs/>
          <w:color w:val="666666"/>
          <w:sz w:val="19"/>
          <w:szCs w:val="19"/>
        </w:rPr>
        <w:t xml:space="preserve">🎬 ACCIÓN EN PANTALLA: </w:t>
      </w:r>
      <w:r>
        <w:rPr>
          <w:i/>
          <w:iCs/>
          <w:color w:val="666666"/>
          <w:sz w:val="19"/>
          <w:szCs w:val="19"/>
        </w:rPr>
        <w:t xml:space="preserve">Mostrar consola EC2 (Running) y la salida de docker ps con los 5 contenedores Up (capturas 07).</w:t>
      </w:r>
    </w:p>
    <w:p>
      <w:pPr>
        <w:pStyle w:val="Heading2"/>
        <w:pBdr>
          <w:bottom w:val="single" w:color="1a73e8" w:sz="6" w:space="4"/>
        </w:pBdr>
        <w:spacing w:after="80" w:before="320"/>
      </w:pPr>
      <w:r>
        <w:rPr>
          <w:b/>
          <w:bCs/>
          <w:color w:val="1a73e8"/>
          <w:sz w:val="24"/>
          <w:szCs w:val="24"/>
        </w:rPr>
        <w:t xml:space="preserve">9:20 – 10:00  ·  </w:t>
      </w:r>
      <w:r>
        <w:rPr>
          <w:b/>
          <w:bCs/>
          <w:color w:val="0d47a1"/>
          <w:sz w:val="24"/>
          <w:szCs w:val="24"/>
        </w:rPr>
        <w:t xml:space="preserve">Bloque 9 · Cierre</w:t>
      </w:r>
    </w:p>
    <w:p>
      <w:pPr>
        <w:spacing w:after="140"/>
        <w:ind w:left="200"/>
      </w:pPr>
      <w:r>
        <w:rPr>
          <w:b/>
          <w:bCs/>
          <w:color w:val="1a73e8"/>
          <w:sz w:val="22"/>
          <w:szCs w:val="22"/>
        </w:rPr>
        <w:t xml:space="preserve">LUCIANO: </w:t>
      </w:r>
      <w:r>
        <w:rPr>
          <w:sz w:val="22"/>
          <w:szCs w:val="22"/>
        </w:rPr>
        <w:t xml:space="preserve">Con esto cubrimos todo el flujo: el login con Azure AD usando Authorization Code y PKCE, el token viajando validado a través de nuestro API Gateway, y los cinco microservicios protegidos de la misma forma, todo corriendo en AWS.</w:t>
      </w:r>
    </w:p>
    <w:p>
      <w:pPr>
        <w:spacing w:after="140"/>
        <w:ind w:left="200"/>
      </w:pPr>
      <w:r>
        <w:rPr>
          <w:b/>
          <w:bCs/>
          <w:color w:val="8e24aa"/>
          <w:sz w:val="22"/>
          <w:szCs w:val="22"/>
        </w:rPr>
        <w:t xml:space="preserve">MARTÍN: </w:t>
      </w:r>
      <w:r>
        <w:rPr>
          <w:sz w:val="22"/>
          <w:szCs w:val="22"/>
        </w:rPr>
        <w:t xml:space="preserve">Quedamos atentos a sus preguntas, profesor.</w:t>
      </w:r>
    </w:p>
    <w:p>
      <w:r>
        <w:br w:type="page"/>
      </w:r>
    </w:p>
    <w:p>
      <w:pPr>
        <w:pStyle w:val="Heading1"/>
        <w:spacing w:after="120" w:before="200"/>
      </w:pPr>
      <w:r>
        <w:rPr>
          <w:b/>
          <w:bCs/>
          <w:color w:val="0d47a1"/>
          <w:sz w:val="30"/>
          <w:szCs w:val="30"/>
        </w:rPr>
        <w:t xml:space="preserve">Anexo · Si el profesor pregunta algo que no está en el guion</w:t>
      </w:r>
    </w:p>
    <w:p>
      <w:pPr>
        <w:spacing w:after="300"/>
      </w:pPr>
      <w:r>
        <w:rPr>
          <w:i/>
          <w:iCs/>
          <w:color w:val="666666"/>
          <w:sz w:val="22"/>
          <w:szCs w:val="22"/>
        </w:rPr>
        <w:t xml:space="preserve">Respuestas cortas para improvisar con confianza</w:t>
      </w:r>
    </w:p>
    <w:p>
      <w:pPr>
        <w:pStyle w:val="ListParagraph"/>
        <w:numPr>
          <w:ilvl w:val="0"/>
          <w:numId w:val="1"/>
        </w:numPr>
        <w:spacing w:after="60"/>
      </w:pPr>
      <w:r>
        <w:rPr>
          <w:sz w:val="21"/>
          <w:szCs w:val="21"/>
        </w:rPr>
        <w:t xml:space="preserve">"¿Por qué PKCE y no solo Authorization Code?" → Porque el frontend es una SPA pública: no puede guardar un client secret de forma segura en el navegador. PKCE reemplaza ese secreto por un par generado en el momento (code_verifier/code_challenge).</w:t>
      </w:r>
    </w:p>
    <w:p>
      <w:pPr>
        <w:pStyle w:val="ListParagraph"/>
        <w:numPr>
          <w:ilvl w:val="0"/>
          <w:numId w:val="1"/>
        </w:numPr>
        <w:spacing w:after="60"/>
      </w:pPr>
      <w:r>
        <w:rPr>
          <w:sz w:val="21"/>
          <w:szCs w:val="21"/>
        </w:rPr>
        <w:t xml:space="preserve">"¿Qué pasa si el token expira?" → El Gateway lo rechaza con 401 igual que si no hubiera token. MSAL puede renovarlo en segundo plano (silent refresh) usando el refresh token, sin pedirle credenciales de nuevo al usuario.</w:t>
      </w:r>
    </w:p>
    <w:p>
      <w:pPr>
        <w:pStyle w:val="ListParagraph"/>
        <w:numPr>
          <w:ilvl w:val="0"/>
          <w:numId w:val="1"/>
        </w:numPr>
        <w:spacing w:after="60"/>
      </w:pPr>
      <w:r>
        <w:rPr>
          <w:sz w:val="21"/>
          <w:szCs w:val="21"/>
        </w:rPr>
        <w:t xml:space="preserve">"¿Por qué validan el JWT en el Gateway Y también mencionan que se valida en el backend?" → Es defensa en profundidad: el Gateway es la primera barrera y evita que tráfico no autenticado llegue siquiera al backend, pero cada microservicio también valida el token de forma independiente, por si algún día se expone directo sin pasar por el Gateway.</w:t>
      </w:r>
    </w:p>
    <w:p>
      <w:pPr>
        <w:pStyle w:val="ListParagraph"/>
        <w:numPr>
          <w:ilvl w:val="0"/>
          <w:numId w:val="1"/>
        </w:numPr>
        <w:spacing w:after="60"/>
      </w:pPr>
      <w:r>
        <w:rPr>
          <w:sz w:val="21"/>
          <w:szCs w:val="21"/>
        </w:rPr>
        <w:t xml:space="preserve">"¿Por qué CORS está centralizado y no en cada microservicio?" → Porque todo el tráfico del frontend pasa por un único punto de entrada, el Gateway, así que configurarlo ahí una sola vez cubre a los cinco servicios y evita duplicar la misma configuración cinco veces.</w:t>
      </w:r>
    </w:p>
    <w:p>
      <w:pPr>
        <w:pStyle w:val="ListParagraph"/>
        <w:numPr>
          <w:ilvl w:val="0"/>
          <w:numId w:val="1"/>
        </w:numPr>
        <w:spacing w:after="60"/>
      </w:pPr>
      <w:r>
        <w:rPr>
          <w:sz w:val="21"/>
          <w:szCs w:val="21"/>
        </w:rPr>
        <w:t xml:space="preserve">"¿Por qué microservicios y no un monolito?" → Permite escalar, desplegar y mantener cada dominio (clientes, productos, pedidos, inventario, pagos) de forma independiente, y se ajusta al enfoque cloud native del curso.</w:t>
      </w:r>
    </w:p>
    <w:p>
      <w:pPr>
        <w:pStyle w:val="ListParagraph"/>
        <w:numPr>
          <w:ilvl w:val="0"/>
          <w:numId w:val="1"/>
        </w:numPr>
        <w:spacing w:after="60"/>
      </w:pPr>
      <w:r>
        <w:rPr>
          <w:sz w:val="21"/>
          <w:szCs w:val="21"/>
        </w:rPr>
        <w:t xml:space="preserve">"¿Qué mejorarían con más tiempo?" → Definir App Roles en Azure AD para manejar permisos más granulares por tipo de usuario, y habilitar un flujo de autorregistro self-service para nuevos usuarios en vez de crearlos manualmente en el tenant.</w:t>
      </w:r>
    </w:p>
    <w:p>
      <w:pPr>
        <w:pStyle w:val="ListParagraph"/>
        <w:numPr>
          <w:ilvl w:val="0"/>
          <w:numId w:val="1"/>
        </w:numPr>
        <w:spacing w:after="60"/>
      </w:pPr>
      <w:r>
        <w:rPr>
          <w:sz w:val="21"/>
          <w:szCs w:val="21"/>
        </w:rPr>
        <w:t xml:space="preserve">"¿Cómo sabe el Gateway que el token es de ustedes y no de cualquier otra app?" → Porque el Authorizer está configurado con el audience exacto de nuestra aplicación registrada — un token válido de Azure AD pero emitido para otra aplicación tiene un audience distinto y el Gateway lo rechaza igual.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2026-09-14T05:11:19.961Z</dcterms:created>
  <dcterms:modified xsi:type="dcterms:W3CDTF">2026-09-14T05:11:19.976Z</dcterms:modified>
</cp:coreProperties>
</file>

<file path=docProps/custom.xml><?xml version="1.0" encoding="utf-8"?>
<Properties xmlns="http://schemas.openxmlformats.org/officeDocument/2006/custom-properties" xmlns:vt="http://schemas.openxmlformats.org/officeDocument/2006/docPropsVTypes"/>
</file>