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66F" w:rsidRDefault="00E12575">
      <w:r>
        <w:t>Renda fixa</w:t>
      </w:r>
    </w:p>
    <w:p w:rsidR="00E12575" w:rsidRDefault="00E12575">
      <w:r>
        <w:t xml:space="preserve">“Empréstimo de recursos em troca de uma remuneração futura </w:t>
      </w:r>
      <w:proofErr w:type="gramStart"/>
      <w:r>
        <w:t>pré acordada</w:t>
      </w:r>
      <w:proofErr w:type="gramEnd"/>
      <w:r>
        <w:t>”</w:t>
      </w:r>
    </w:p>
    <w:p w:rsidR="00E12575" w:rsidRDefault="00E12575">
      <w:r>
        <w:t>São emissões de títulos de dívidas.</w:t>
      </w:r>
    </w:p>
    <w:p w:rsidR="00E12575" w:rsidRDefault="00E12575"/>
    <w:p w:rsidR="00E12575" w:rsidRDefault="00E12575">
      <w:r>
        <w:t>Títulos públicos</w:t>
      </w:r>
    </w:p>
    <w:p w:rsidR="00E12575" w:rsidRDefault="00E12575">
      <w:r>
        <w:t xml:space="preserve">Tesouro </w:t>
      </w:r>
      <w:proofErr w:type="spellStart"/>
      <w:r>
        <w:t>selic</w:t>
      </w:r>
      <w:proofErr w:type="spellEnd"/>
      <w:r>
        <w:t xml:space="preserve"> (Letra financeira do tesouro – LFT)</w:t>
      </w:r>
    </w:p>
    <w:p w:rsidR="00E12575" w:rsidRDefault="00E12575">
      <w:r>
        <w:t>Tesouro prefixado (Letra do tesouro nacional – LTN)</w:t>
      </w:r>
    </w:p>
    <w:p w:rsidR="00E12575" w:rsidRDefault="00E12575">
      <w:r>
        <w:t>Tesouro IPCA+ (Nota do tesouro nacional série B – NTN B)</w:t>
      </w:r>
    </w:p>
    <w:p w:rsidR="00E12575" w:rsidRDefault="00E12575">
      <w:r>
        <w:t>Títulos privados</w:t>
      </w:r>
    </w:p>
    <w:p w:rsidR="00E12575" w:rsidRDefault="00E12575">
      <w:r>
        <w:t>Emitidos por bancos</w:t>
      </w:r>
    </w:p>
    <w:p w:rsidR="00E12575" w:rsidRDefault="00E12575">
      <w:r>
        <w:t>Certificados de depósitos bancários – CDB</w:t>
      </w:r>
    </w:p>
    <w:p w:rsidR="00E12575" w:rsidRDefault="00E12575">
      <w:r>
        <w:t>Letras de crédito do agronegócio – LCA</w:t>
      </w:r>
    </w:p>
    <w:p w:rsidR="00E12575" w:rsidRDefault="00E12575">
      <w:r>
        <w:t>Letra de câmbio – LC</w:t>
      </w:r>
    </w:p>
    <w:p w:rsidR="00E12575" w:rsidRDefault="00E12575">
      <w:r>
        <w:t>Letra de crédito imobiliário – LCI</w:t>
      </w:r>
    </w:p>
    <w:p w:rsidR="00E12575" w:rsidRDefault="00E12575">
      <w:r>
        <w:t>Letra imobiliária garantida – LIG</w:t>
      </w:r>
    </w:p>
    <w:p w:rsidR="00E12575" w:rsidRDefault="00E12575">
      <w:r>
        <w:t>Letras financeiras – LF</w:t>
      </w:r>
    </w:p>
    <w:p w:rsidR="00E12575" w:rsidRDefault="00E12575">
      <w:r>
        <w:t>Poupança</w:t>
      </w:r>
    </w:p>
    <w:p w:rsidR="00E12575" w:rsidRDefault="00E12575">
      <w:r>
        <w:t>Emitidos por empresas</w:t>
      </w:r>
    </w:p>
    <w:p w:rsidR="00E12575" w:rsidRDefault="00E12575">
      <w:r>
        <w:t>Certificados de recebíveis do agronegócio – CRA</w:t>
      </w:r>
    </w:p>
    <w:p w:rsidR="00E12575" w:rsidRDefault="00E12575">
      <w:r>
        <w:t xml:space="preserve">Certificados de recebíveis Imobiliários – </w:t>
      </w:r>
      <w:proofErr w:type="gramStart"/>
      <w:r>
        <w:t>CRI</w:t>
      </w:r>
      <w:proofErr w:type="gramEnd"/>
    </w:p>
    <w:p w:rsidR="00E12575" w:rsidRDefault="00E12575">
      <w:r>
        <w:t>Debêntures</w:t>
      </w:r>
    </w:p>
    <w:p w:rsidR="00E12575" w:rsidRDefault="00E12575">
      <w:r>
        <w:t>Fundos de investimentos</w:t>
      </w:r>
    </w:p>
    <w:p w:rsidR="00E12575" w:rsidRDefault="00E12575">
      <w:proofErr w:type="spellStart"/>
      <w:r>
        <w:t>ETFs</w:t>
      </w:r>
      <w:proofErr w:type="spellEnd"/>
      <w:r>
        <w:t xml:space="preserve"> de renda fixa e Fundos de debêntures incentivadas</w:t>
      </w:r>
    </w:p>
    <w:p w:rsidR="00E12575" w:rsidRDefault="00E12575">
      <w:r>
        <w:t>Principais características de um título</w:t>
      </w:r>
    </w:p>
    <w:p w:rsidR="00E12575" w:rsidRDefault="00E12575">
      <w:r>
        <w:t>Prazo de vencimento</w:t>
      </w:r>
    </w:p>
    <w:p w:rsidR="00E12575" w:rsidRDefault="00E12575">
      <w:r>
        <w:t>Emissor</w:t>
      </w:r>
    </w:p>
    <w:p w:rsidR="00E12575" w:rsidRDefault="00E12575">
      <w:r>
        <w:t>Taxas de juros da operação</w:t>
      </w:r>
    </w:p>
    <w:p w:rsidR="00E12575" w:rsidRDefault="00E12575">
      <w:r>
        <w:lastRenderedPageBreak/>
        <w:t>Garantias que podem ou não existir</w:t>
      </w:r>
    </w:p>
    <w:p w:rsidR="00E12575" w:rsidRDefault="00E12575">
      <w:r>
        <w:t>Remuneração:</w:t>
      </w:r>
    </w:p>
    <w:p w:rsidR="00E12575" w:rsidRDefault="00E12575">
      <w:r>
        <w:t>Prefixado – se sabe a taxa remuneratória que será paga desde o início.</w:t>
      </w:r>
    </w:p>
    <w:p w:rsidR="00E12575" w:rsidRDefault="00E12575">
      <w:r>
        <w:t>Pós-fixados – seu preço varia de acordo com a taxa indexada ao papel.</w:t>
      </w:r>
    </w:p>
    <w:p w:rsidR="00E12575" w:rsidRDefault="00E12575">
      <w:r>
        <w:t>Híbridos – possuem um componente prefixado e outro indexado.</w:t>
      </w:r>
    </w:p>
    <w:p w:rsidR="00E12575" w:rsidRDefault="00E12575">
      <w:r>
        <w:t>O recebimento da remuneração pode se dar de duas formas, recebimento dos juros remuneratórios apenas no vencimento e recebimento de cupons de juros periódicos.</w:t>
      </w:r>
    </w:p>
    <w:p w:rsidR="00E12575" w:rsidRDefault="00E12575"/>
    <w:sectPr w:rsidR="00E12575" w:rsidSect="00F816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E12575"/>
    <w:rsid w:val="00E12575"/>
    <w:rsid w:val="00F816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66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210</Words>
  <Characters>1040</Characters>
  <Application>Microsoft Office Word</Application>
  <DocSecurity>0</DocSecurity>
  <Lines>16</Lines>
  <Paragraphs>7</Paragraphs>
  <ScaleCrop>false</ScaleCrop>
  <Company>Microsoft</Company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luciano.escobar_ext</dc:creator>
  <cp:lastModifiedBy>luciano.escobar_ext</cp:lastModifiedBy>
  <cp:revision>1</cp:revision>
  <dcterms:created xsi:type="dcterms:W3CDTF">2023-03-30T19:50:00Z</dcterms:created>
  <dcterms:modified xsi:type="dcterms:W3CDTF">2023-03-30T21:03:00Z</dcterms:modified>
</cp:coreProperties>
</file>