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1F297" w14:textId="77777777" w:rsidR="00014CD2" w:rsidRDefault="00014CD2" w:rsidP="00014CD2">
      <w:pPr>
        <w:ind w:left="2124"/>
        <w:rPr>
          <w:rFonts w:ascii="Arial" w:hAnsi="Arial" w:cs="Arial"/>
          <w:color w:val="FF0000"/>
          <w:sz w:val="36"/>
          <w:szCs w:val="36"/>
        </w:rPr>
      </w:pPr>
      <w:r w:rsidRPr="009174BD">
        <w:rPr>
          <w:rFonts w:ascii="Arial" w:hAnsi="Arial" w:cs="Arial"/>
          <w:color w:val="FF0000"/>
          <w:sz w:val="36"/>
          <w:szCs w:val="36"/>
        </w:rPr>
        <w:t>Sensores y transductores</w:t>
      </w:r>
    </w:p>
    <w:p w14:paraId="14848178" w14:textId="77777777" w:rsidR="00014CD2" w:rsidRDefault="00014CD2" w:rsidP="00014CD2">
      <w:pPr>
        <w:rPr>
          <w:rFonts w:ascii="Arial" w:hAnsi="Arial" w:cs="Arial"/>
          <w:color w:val="FF0000"/>
          <w:sz w:val="24"/>
          <w:szCs w:val="24"/>
        </w:rPr>
      </w:pPr>
      <w:r w:rsidRPr="009174BD">
        <w:rPr>
          <w:rFonts w:ascii="Arial" w:hAnsi="Arial" w:cs="Arial"/>
          <w:color w:val="FF0000"/>
          <w:sz w:val="24"/>
          <w:szCs w:val="24"/>
        </w:rPr>
        <w:t>Elementos generales de un sistema de control automático.</w:t>
      </w:r>
    </w:p>
    <w:p w14:paraId="44C07C00" w14:textId="1BED4C58" w:rsidR="00221E91" w:rsidRPr="00F72AB5" w:rsidRDefault="00014CD2" w:rsidP="00F72AB5">
      <w:pPr>
        <w:rPr>
          <w:color w:val="FF0000"/>
        </w:rPr>
      </w:pPr>
      <w:r w:rsidRPr="009174BD">
        <w:rPr>
          <w:noProof/>
          <w:color w:val="FF0000"/>
        </w:rPr>
        <w:drawing>
          <wp:inline distT="0" distB="0" distL="0" distR="0" wp14:anchorId="348EBC85" wp14:editId="0442FC80">
            <wp:extent cx="4333875" cy="2969671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368" cy="2982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1E0AC" w14:textId="7C63A782" w:rsidR="00221E91" w:rsidRPr="00221E91" w:rsidRDefault="00221E91" w:rsidP="00221E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FC2124">
        <w:rPr>
          <w:rFonts w:ascii="Arial" w:hAnsi="Arial" w:cs="Arial"/>
          <w:color w:val="FF0000"/>
        </w:rPr>
        <w:t>Sensor activo</w:t>
      </w:r>
      <w:r w:rsidRPr="00221E91">
        <w:rPr>
          <w:rFonts w:ascii="Arial" w:hAnsi="Arial" w:cs="Arial"/>
        </w:rPr>
        <w:t>: requiere una fuente externa de excitación</w:t>
      </w:r>
      <w:r w:rsidR="00F72AB5">
        <w:rPr>
          <w:rFonts w:ascii="Arial" w:hAnsi="Arial" w:cs="Arial"/>
        </w:rPr>
        <w:t>.</w:t>
      </w:r>
    </w:p>
    <w:p w14:paraId="2FC067D7" w14:textId="79967AB9" w:rsidR="00221E91" w:rsidRPr="00221E91" w:rsidRDefault="00221E91" w:rsidP="00221E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FC2124">
        <w:rPr>
          <w:rFonts w:ascii="Arial" w:hAnsi="Arial" w:cs="Arial"/>
          <w:color w:val="FF0000"/>
        </w:rPr>
        <w:t>Sensor pasivo</w:t>
      </w:r>
      <w:r w:rsidRPr="00221E91">
        <w:rPr>
          <w:rFonts w:ascii="Arial" w:hAnsi="Arial" w:cs="Arial"/>
        </w:rPr>
        <w:t xml:space="preserve">: no requiere una fuente externa </w:t>
      </w:r>
      <w:r w:rsidR="00F72AB5">
        <w:rPr>
          <w:rFonts w:ascii="Arial" w:hAnsi="Arial" w:cs="Arial"/>
        </w:rPr>
        <w:t>de excitación.</w:t>
      </w:r>
    </w:p>
    <w:p w14:paraId="6D78158C" w14:textId="116F1069" w:rsidR="00221E91" w:rsidRPr="00FC2124" w:rsidRDefault="00221E91" w:rsidP="00221E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</w:rPr>
      </w:pPr>
      <w:r w:rsidRPr="00FC2124">
        <w:rPr>
          <w:rFonts w:ascii="Arial" w:hAnsi="Arial" w:cs="Arial"/>
          <w:color w:val="FF0000"/>
        </w:rPr>
        <w:t>La diferencia entre ambos es que el sensor es el elemento sensible primario que responde a las variaciones</w:t>
      </w:r>
      <w:r w:rsidR="00FC2124" w:rsidRPr="00FC2124">
        <w:rPr>
          <w:rFonts w:ascii="Arial" w:hAnsi="Arial" w:cs="Arial"/>
          <w:color w:val="FF0000"/>
        </w:rPr>
        <w:t xml:space="preserve"> </w:t>
      </w:r>
      <w:r w:rsidRPr="00FC2124">
        <w:rPr>
          <w:rFonts w:ascii="Arial" w:hAnsi="Arial" w:cs="Arial"/>
          <w:color w:val="FF0000"/>
        </w:rPr>
        <w:t xml:space="preserve">de la magnitud que se mide, y el transductor es el que lleva </w:t>
      </w:r>
      <w:r w:rsidR="00FC2124" w:rsidRPr="00FC2124">
        <w:rPr>
          <w:rFonts w:ascii="Arial" w:hAnsi="Arial" w:cs="Arial"/>
          <w:color w:val="FF0000"/>
        </w:rPr>
        <w:t>a cabo</w:t>
      </w:r>
      <w:r w:rsidRPr="00FC2124">
        <w:rPr>
          <w:rFonts w:ascii="Arial" w:hAnsi="Arial" w:cs="Arial"/>
          <w:color w:val="FF0000"/>
        </w:rPr>
        <w:t xml:space="preserve"> la conversión energética entre la magnitud</w:t>
      </w:r>
      <w:r w:rsidR="00FC2124" w:rsidRPr="00FC2124">
        <w:rPr>
          <w:rFonts w:ascii="Arial" w:hAnsi="Arial" w:cs="Arial"/>
          <w:color w:val="FF0000"/>
        </w:rPr>
        <w:t xml:space="preserve"> </w:t>
      </w:r>
      <w:r w:rsidRPr="00FC2124">
        <w:rPr>
          <w:rFonts w:ascii="Arial" w:hAnsi="Arial" w:cs="Arial"/>
          <w:color w:val="FF0000"/>
        </w:rPr>
        <w:t>de entrada y de salida.</w:t>
      </w:r>
    </w:p>
    <w:p w14:paraId="29BCE4A6" w14:textId="1DD1A805" w:rsidR="00221E91" w:rsidRDefault="00221E91" w:rsidP="00221E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FC2124">
        <w:rPr>
          <w:rFonts w:ascii="Arial" w:hAnsi="Arial" w:cs="Arial"/>
          <w:color w:val="FF0000"/>
        </w:rPr>
        <w:t>Ejemplo</w:t>
      </w:r>
      <w:r w:rsidRPr="00221E91">
        <w:rPr>
          <w:rFonts w:ascii="Arial" w:hAnsi="Arial" w:cs="Arial"/>
        </w:rPr>
        <w:t>: el diafragma es el sensor, mientras que la resistencia variable o el capacitor son el transductor.</w:t>
      </w:r>
    </w:p>
    <w:p w14:paraId="647B1426" w14:textId="77777777" w:rsidR="00C520A5" w:rsidRPr="00C520A5" w:rsidRDefault="00C520A5" w:rsidP="00C520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4"/>
          <w:szCs w:val="24"/>
        </w:rPr>
      </w:pPr>
      <w:r w:rsidRPr="00C520A5">
        <w:rPr>
          <w:rFonts w:ascii="Arial" w:hAnsi="Arial" w:cs="Arial"/>
          <w:color w:val="FF0000"/>
          <w:sz w:val="24"/>
          <w:szCs w:val="24"/>
        </w:rPr>
        <w:t>¿Por qué se utiliza la medida de 4 a 20 mA?</w:t>
      </w:r>
    </w:p>
    <w:p w14:paraId="1892B3EB" w14:textId="5727920E" w:rsidR="00C520A5" w:rsidRDefault="00C520A5" w:rsidP="00C520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la fácil instalación y mantenimiento del cableado eléctrico sedujo a los industriales, quienes sufrían los problemas de pérdidas de presión en las líneas neumáticas y el gasto energético que representaba el continuo funcionamiento de aquellos ineficientes compresores.</w:t>
      </w:r>
    </w:p>
    <w:p w14:paraId="4CD8B7E0" w14:textId="0041851B" w:rsidR="00C520A5" w:rsidRDefault="00C520A5" w:rsidP="00C520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mayor precisión, bajo consumo y potencial algorítmico para controles complejos </w:t>
      </w:r>
    </w:p>
    <w:p w14:paraId="3112F7F9" w14:textId="77777777" w:rsidR="00C520A5" w:rsidRDefault="00C520A5" w:rsidP="00C520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Ventajas:</w:t>
      </w:r>
    </w:p>
    <w:p w14:paraId="78A9C50D" w14:textId="3357939C" w:rsidR="00C520A5" w:rsidRDefault="00C520A5" w:rsidP="00C520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● Estándar industrial de hace más de 50 años (gran variedad de equipos en el mercado)</w:t>
      </w:r>
    </w:p>
    <w:p w14:paraId="23F96AC0" w14:textId="77777777" w:rsidR="00C520A5" w:rsidRDefault="00C520A5" w:rsidP="00C520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● Es más estable en largas distancias y más inmune a los ruidos eléctricos, interferencias</w:t>
      </w:r>
    </w:p>
    <w:p w14:paraId="3281184D" w14:textId="77777777" w:rsidR="00C520A5" w:rsidRDefault="00C520A5" w:rsidP="00C520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electromagnéticas o de radiofrecuencia.</w:t>
      </w:r>
    </w:p>
    <w:p w14:paraId="76CDC553" w14:textId="77777777" w:rsidR="00C520A5" w:rsidRDefault="00C520A5" w:rsidP="00C520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● Fácil medición de fallas con un multímetro (valores menores a 3.8 mA o mayores a 20,5 mA).</w:t>
      </w:r>
    </w:p>
    <w:p w14:paraId="4F17FD75" w14:textId="3F65D4ED" w:rsidR="00C520A5" w:rsidRDefault="00C520A5" w:rsidP="00C520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● El valor de intensidad 20 mA está por debajo del umbral de riesgo eléctrico para la salud.</w:t>
      </w:r>
    </w:p>
    <w:p w14:paraId="40A65473" w14:textId="2F6F43E9" w:rsidR="00A332C0" w:rsidRDefault="00A332C0" w:rsidP="00C520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Entre otros.</w:t>
      </w:r>
    </w:p>
    <w:p w14:paraId="1E2CDB58" w14:textId="28529E51" w:rsidR="00FC2124" w:rsidRDefault="00FC2124" w:rsidP="00221E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4"/>
          <w:szCs w:val="24"/>
        </w:rPr>
      </w:pPr>
    </w:p>
    <w:p w14:paraId="049052EF" w14:textId="77777777" w:rsidR="00A332C0" w:rsidRPr="00221E91" w:rsidRDefault="00A332C0" w:rsidP="00221E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sectPr w:rsidR="00A332C0" w:rsidRPr="00221E9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FE8"/>
    <w:rsid w:val="00014CD2"/>
    <w:rsid w:val="001305A6"/>
    <w:rsid w:val="00221E91"/>
    <w:rsid w:val="003B139F"/>
    <w:rsid w:val="00420041"/>
    <w:rsid w:val="007B1DD1"/>
    <w:rsid w:val="00943FE8"/>
    <w:rsid w:val="009B4FB4"/>
    <w:rsid w:val="00A332C0"/>
    <w:rsid w:val="00C520A5"/>
    <w:rsid w:val="00F318E7"/>
    <w:rsid w:val="00F72AB5"/>
    <w:rsid w:val="00FC2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B57E9"/>
  <w15:chartTrackingRefBased/>
  <w15:docId w15:val="{A1FFF6E8-B63C-471B-825E-897C27AD7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4CD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</Pages>
  <Words>211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Luciano Moliterno</dc:creator>
  <cp:keywords/>
  <dc:description/>
  <cp:lastModifiedBy>Luciano Moliterno</cp:lastModifiedBy>
  <cp:revision>5</cp:revision>
  <dcterms:created xsi:type="dcterms:W3CDTF">2021-10-04T21:22:00Z</dcterms:created>
  <dcterms:modified xsi:type="dcterms:W3CDTF">2021-12-20T20:04:00Z</dcterms:modified>
</cp:coreProperties>
</file>