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nts/HelveticaNeueLight-bold.ttf" ContentType="application/x-font-ttf"/>
  <Override PartName="/word/fonts/HelveticaNeueLight-boldItalic.ttf" ContentType="application/x-font-ttf"/>
  <Override PartName="/word/fonts/HelveticaNeueLight-italic.ttf" ContentType="application/x-font-ttf"/>
  <Override PartName="/word/fonts/HelveticaNeueLight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b w:val="1"/>
          <w:bCs w:val="1"/>
          <w:smallCaps w:val="1"/>
          <w:color w:val="5b7085"/>
        </w:rPr>
      </w:pPr>
      <w:r>
        <w:rPr>
          <w:rtl w:val="0"/>
        </w:rPr>
      </w:r>
    </w:p>
    <w:p w14:paraId="00000008">
      <w:pPr>
        <w:spacing w:after="0" w:before="0" w:line="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09">
      <w:pPr>
        <w:pStyle w:val="Title"/>
        <w:spacing w:line="240" w:lineRule="auto"/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</w:rPr>
      </w:pPr>
      <w:r>
        <w:rPr>
          <w:rFonts w:ascii="Helvetica Neue Light" w:cs="Helvetica Neue Light" w:eastAsia="Helvetica Neue Light" w:hAnsi="Helvetica Neue Light"/>
          <w:b w:val="0"/>
          <w:bCs w:val="0"/>
          <w:color w:val="5b7085"/>
          <w:sz w:val="72"/>
          <w:szCs w:val="72"/>
          <w:rtl w:val="0"/>
        </w:rPr>
        <w:t>WhiteFlood</w:t>
      </w:r>
    </w:p>
    <w:p w14:paraId="0000000A">
      <w:pPr>
        <w:pStyle w:val="Title"/>
        <w:spacing w:line="240" w:lineRule="auto"/>
        <w:rPr>
          <w:rFonts w:ascii="Helvetica Neue" w:cs="Helvetica Neue" w:eastAsia="Helvetica Neue" w:hAnsi="Helvetica Neue"/>
          <w:sz w:val="72"/>
          <w:szCs w:val="72"/>
        </w:rPr>
      </w:pPr>
      <w:r>
        <w:rPr>
          <w:rFonts w:ascii="Helvetica Neue" w:cs="Helvetica Neue" w:eastAsia="Helvetica Neue" w:hAnsi="Helvetica Neue"/>
          <w:sz w:val="72"/>
          <w:szCs w:val="72"/>
          <w:rtl w:val="0"/>
        </w:rPr>
        <w:t>UI System Design</w:t>
      </w:r>
    </w:p>
    <w:p w14:paraId="0000000B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C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D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E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0F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0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1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2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3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14">
      <w:pPr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1"/>
        <w:tblW w:w="10400.0" w:type="dxa"/>
        <w:jc w:val="center"/>
        <w:tblLayout w:type="fixed"/>
        <w:tblLook w:val="0600"/>
      </w:tblPr>
      <w:tblGrid>
        <w:gridCol w:w="3200"/>
        <w:gridCol w:w="400"/>
        <w:gridCol w:w="3200"/>
        <w:gridCol w:w="400"/>
        <w:gridCol w:w="3200"/>
        <w:tblGridChange w:id="0">
          <w:tblGrid>
            <w:gridCol w:w="3200"/>
            <w:gridCol w:w="400"/>
            <w:gridCol w:w="3200"/>
            <w:gridCol w:w="400"/>
            <w:gridCol w:w="3200"/>
          </w:tblGrid>
        </w:tblGridChange>
      </w:tblGrid>
      <w:tr>
        <w:trPr>
          <w:cantSplit w:val="0"/>
          <w:tblHeader w:val="0"/>
        </w:trPr>
        <w:tc>
          <w:tcPr/>
          <w:p w14:paraId="00000015">
            <w:pPr>
              <w:pStyle w:val="Heading3"/>
              <w:rPr/>
            </w:pPr>
            <w:bookmarkStart w:colFirst="0" w:colLast="0" w:name="_heading=h.7ykrt4nkacae" w:id="0"/>
            <w:bookmarkEnd w:id="0"/>
            <w:r>
              <w:rPr>
                <w:rtl w:val="0"/>
              </w:rPr>
              <w:t>STATUS</w:t>
              <w:br/>
              <w:t>Proposed</w:t>
            </w:r>
          </w:p>
        </w:tc>
        <w:tc>
          <w:tcPr/>
          <w:p w14:paraId="00000017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8">
            <w:pPr>
              <w:pStyle w:val="Heading3"/>
              <w:rPr/>
            </w:pPr>
            <w:bookmarkStart w:colFirst="0" w:colLast="0" w:name="_heading=h.yfftl1hqu8kl" w:id="1"/>
            <w:bookmarkEnd w:id="1"/>
            <w:r>
              <w:rPr>
                <w:rtl w:val="0"/>
              </w:rPr>
              <w:t>OWNER</w:t>
              <w:br/>
              <w:t>Bima Chakti</w:t>
            </w:r>
          </w:p>
        </w:tc>
        <w:tc>
          <w:tcPr/>
          <w:p w14:paraId="0000001A">
            <w:pPr>
              <w:rPr>
                <w:rFonts w:ascii="Helvetica Neue" w:cs="Helvetica Neue" w:eastAsia="Helvetica Neue" w:hAnsi="Helvetica Neue"/>
              </w:rPr>
            </w:pPr>
            <w:r>
              <w:rPr>
                <w:rtl w:val="0"/>
              </w:rPr>
            </w:r>
          </w:p>
        </w:tc>
        <w:tc>
          <w:tcPr/>
          <w:p w14:paraId="0000001B">
            <w:pPr>
              <w:pStyle w:val="Heading3"/>
              <w:rPr/>
            </w:pPr>
            <w:bookmarkStart w:colFirst="0" w:colLast="0" w:name="_heading=h.jp27tbh10tsa" w:id="2"/>
            <w:bookmarkEnd w:id="2"/>
            <w:r>
              <w:rPr>
                <w:rtl w:val="0"/>
              </w:rPr>
              <w:t>LAST UPDATED</w:t>
              <w:br/>
              <w:t>August 10, 2026</w:t>
            </w:r>
          </w:p>
        </w:tc>
      </w:tr>
    </w:tbl>
    <w:p w14:paraId="0000001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2"/>
        <w:tblW w:w="10155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1815"/>
        <w:gridCol w:w="8340"/>
        <w:tblGridChange w:id="0">
          <w:tblGrid>
            <w:gridCol w:w="1815"/>
            <w:gridCol w:w="8340"/>
          </w:tblGrid>
        </w:tblGridChange>
      </w:tblGrid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E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Authors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1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Bima Chakti</w:t>
            </w:r>
          </w:p>
        </w:tc>
      </w:tr>
      <w:tr>
        <w:trPr>
          <w:cantSplit w:val="1"/>
          <w:trHeight w:val="404.3103027343749" w:hRule="atLeast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0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Reviewers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Bima Chakti / Codex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2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Related docs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docs/WHITEFLOOD_UI_REDESIGN.md; implementation_plan.md</w:t>
            </w:r>
          </w:p>
        </w:tc>
      </w:tr>
      <w:tr>
        <w:trPr>
          <w:cantSplit w:val="1"/>
          <w:tblHeader w:val="0"/>
        </w:trPr>
        <w:tc>
          <w:tcPr>
            <w:shd w:fill="cfe2f3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4">
            <w:pPr>
              <w:spacing w:after="25" w:before="20" w:line="285" w:lineRule="auto"/>
              <w:rPr>
                <w:rFonts w:ascii="Helvetica Neue" w:cs="Helvetica Neue" w:eastAsia="Helvetica Neue" w:hAnsi="Helvetica Neue"/>
                <w:color w:val="000000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rtl w:val="0"/>
              </w:rPr>
              <w:t>Scope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Desktop UI shell and page contracts for the approved WhiteFlood feature plan.</w:t>
            </w:r>
          </w:p>
        </w:tc>
      </w:tr>
    </w:tbl>
    <w:p w14:paraId="00000026">
      <w:pPr>
        <w:pStyle w:val="Heading1"/>
        <w:pBdr>
          <w:top w:color="2f6b9a" w:space="2" w:sz="0" w:val="none"/>
          <w:left w:color="2f6b9a" w:space="2" w:sz="0" w:val="none"/>
          <w:bottom w:color="2f6b9a" w:space="2" w:sz="0" w:val="none"/>
          <w:right w:color="2f6b9a" w:space="2" w:sz="0" w:val="none"/>
        </w:pBdr>
        <w:spacing w:after="130" w:before="0" w:line="285" w:lineRule="auto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 xml:space="preserve">1.  Abstract</w:t>
      </w:r>
      <w:r>
        <w:rPr>
          <w:rtl w:val="0"/>
        </w:rPr>
      </w:r>
    </w:p>
    <w:p w14:paraId="0000002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Dokumen ini menetapkan shell dan enam halaman kerja WhiteFlood untuk foto produk furnitur: Workspace, Hapus Background, Upscale, Vectorize Image, Remove Watermark Image, dan Remove Watermark Video. CustomTkinter/Tkinter, preview besar, worker thread, dan callback after() tetap menjadi batas implementasi.</w:t>
      </w:r>
    </w:p>
    <w:p w14:paraId="00000028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Desain ini tidak menambahkan editor node SVG, tracking watermark, auto-detect, cloud upload, atau framework UI baru. Engine berat tetap dimuat lazy dan tidak berjalan bersamaan. Board visual yang dibuat generator adalah referensi komposisi, bukan bukti runtime.</w:t>
      </w:r>
    </w:p>
    <w:p w14:paraId="00000029">
      <w:pPr>
        <w:spacing w:after="0" w:line="120" w:lineRule="auto"/>
        <w:jc w:val="both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2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2.  Goals and Non-Goals</w:t>
      </w:r>
    </w:p>
    <w:tbl>
      <w:tblPr>
        <w:tblStyle w:val="Table3"/>
        <w:tblW w:w="10224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5112"/>
        <w:gridCol w:w="5112"/>
        <w:tblGridChange w:id="0">
          <w:tblGrid>
            <w:gridCol w:w="5112"/>
            <w:gridCol w:w="511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B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Goal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C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Non-goal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Make active tool and next action obvious.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web rewrite or framework replacement.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2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Keep preview dominant and status persistent.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native SVG node editor.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Expose safe local processing and file boundaries.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cloud upload or auto-detect.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Gate each feature with evidence before rollout.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3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tracking in the first release.</w:t>
            </w:r>
          </w:p>
        </w:tc>
      </w:tr>
    </w:tbl>
    <w:p w14:paraId="00000035">
      <w:pPr>
        <w:pStyle w:val="Heading1"/>
        <w:spacing w:before="0" w:line="216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36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3.  Background and Problem Statement</w:t>
      </w:r>
    </w:p>
    <w:p w14:paraId="00000037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Source aktif sudah memiliki dark theme, sidebar ramping, preview Before/After, dan pemisahan Remove Background serta Upscale. Masalah utama yang perlu diselesaikan sebelum fitur baru masuk adalah ownership halaman: area file dan action berubah arti sesuai alat, sehingga state kosong, proses, berhasil, dan error belum punya tempat yang konsisten.</w:t>
      </w:r>
    </w:p>
    <w:p w14:paraId="00000038">
      <w:pPr>
        <w:spacing w:after="110" w:line="300" w:lineRule="auto"/>
        <w:jc w:val="both"/>
        <w:rPr>
          <w:rFonts w:ascii="Helvetica Neue" w:cs="Helvetica Neue" w:eastAsia="Helvetica Neue" w:hAnsi="Helvetica Neue"/>
          <w:color w:val="000000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Usulan mempertahankan shell lokal dan memindahkan perbedaan workflow ke inspector kontekstual. Rail memilih satu alat, stage menampilkan media, dan status strip selalu menjelaskan fase serta aksi berikutnya. Invarian utamanya: file input tidak diubah, output tidak menimpa file lama diam-diam, dan kontrol berat terkunci saat worker berjalan.</w:t>
      </w:r>
    </w:p>
    <w:p w14:paraId="00000039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4.  Proposed Architecture</w:t>
      </w:r>
    </w:p>
    <w:p w14:paraId="0000003A">
      <w:pPr>
        <w:spacing w:after="0" w:line="144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3B">
      <w:pPr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</w:rPr>
        <w:drawing>
          <wp:inline distB="0" distT="0" distL="0" distR="0">
            <wp:extent cx="6126480" cy="313982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3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Fonts w:ascii="Helvetica Neue" w:cs="Helvetica Neue" w:eastAsia="Helvetica Neue" w:hAnsi="Helvetica Neue"/>
          <w:color w:val="082a4a"/>
          <w:rtl w:val="0"/>
        </w:rPr>
        <w:t>Figure 1. WhiteFlood workbench: ToolRail -&gt; ToolInspector -&gt; MediaStage -&gt; StatusStrip -&gt; Output.</w:t>
      </w:r>
    </w:p>
    <w:p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0" w:lineRule="auto"/>
        <w:ind w:left="0" w:right="0" w:firstLine="0"/>
        <w:jc w:val="left"/>
        <w:rPr>
          <w:rFonts w:ascii="Helvetica Neue" w:cs="Helvetica Neue" w:eastAsia="Helvetica Neue" w:hAnsi="Helvetica Neue"/>
          <w:color w:val="082a4a"/>
        </w:rPr>
      </w:pPr>
      <w:r>
        <w:rPr>
          <w:rtl w:val="0"/>
        </w:rPr>
      </w:r>
    </w:p>
    <w:p w14:paraId="0000003E">
      <w:pPr>
        <w:pStyle w:val="Heading3"/>
        <w:spacing w:after="90" w:line="280" w:lineRule="auto"/>
        <w:rPr/>
      </w:pPr>
      <w:bookmarkStart w:colFirst="0" w:colLast="0" w:name="_heading=h.z8y8vnqzkka4" w:id="3"/>
      <w:bookmarkEnd w:id="3"/>
      <w:r>
        <w:rPr>
          <w:rtl w:val="0"/>
        </w:rPr>
        <w:t xml:space="preserve">Core components</w:t>
      </w:r>
    </w:p>
    <w:p w14:paraId="0000003F">
      <w:pPr>
        <w:spacing w:after="0" w:before="20" w:line="240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4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268"/>
        <w:gridCol w:w="3164"/>
        <w:gridCol w:w="2374"/>
        <w:gridCol w:w="2634"/>
        <w:tblGridChange w:id="0">
          <w:tblGrid>
            <w:gridCol w:w="2268"/>
            <w:gridCol w:w="3164"/>
            <w:gridCol w:w="2374"/>
            <w:gridCol w:w="263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Component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1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Responsibility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2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Primary storage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Failure behavior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ToolRail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Selects exactly one active page.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Tk variables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Keeps the current page and shows a warning if busy.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ToolInspector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Owns controls for the selected workflow.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Page-local state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Disables unsafe controls during processing.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MediaStage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Shows image, frame, mask, split preview, and empty state.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PIL/ImageTk cache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4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Retains the original on error.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Feature services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Vectorize, LaMa inpaint, media validation, and video streaming.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Temporary files and model sessions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Raises actionable error and cleans temporary output.</w:t>
            </w:r>
          </w:p>
        </w:tc>
      </w:tr>
      <w:tr>
        <w:trPr>
          <w:cantSplit w:val="1"/>
          <w:trHeight w:val="58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4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StatusStrip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5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Shows phase, progress, cancel, warnings, and next action.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6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Tk StringVar/ProgressBar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57">
            <w:pPr>
              <w:spacing w:after="25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Falls back to text when percentage is unavailable.</w:t>
            </w:r>
          </w:p>
        </w:tc>
      </w:tr>
    </w:tbl>
    <w:p w14:paraId="00000058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9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5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5.  Request Lifecycle</w:t>
      </w:r>
    </w:p>
    <w:p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User memilih alat lalu membuka gambar atau video yang sesuai dengan workflow aktif.</w:t>
      </w:r>
    </w:p>
    <w:p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UI memvalidasi ekstensi, path, ukuran, dan mode media sebelum worker dimulai.</w:t>
      </w:r>
    </w:p>
    <w:p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Inspector memuat preset, mask, metadata media, model, atau binary lokal hanya saat dibutuhkan.</w:t>
      </w:r>
    </w:p>
    <w:p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Worker menjalankan engine lokal dan mengirim status melalui callback after() tanpa memblokir UI.</w:t>
      </w:r>
    </w:p>
    <w:p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Output sementara ditulis dengan nama collision-safe dan input asli tetap read-only.</w:t>
      </w:r>
    </w:p>
    <w:p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Cancel menghentikan worker/subprocess yang relevan, membersihkan temporary output, lalu mengembalikan kontrol.</w:t>
      </w:r>
    </w:p>
    <w:p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UI menampilkan hasil, ukuran atau metadata yang benar-benar diprobe, warning, dan tombol simpan yang sesuai.</w:t>
      </w:r>
    </w:p>
    <w:p w14:paraId="00000062">
      <w:pPr>
        <w:pStyle w:val="Heading1"/>
        <w:spacing w:before="0" w:line="168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6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6.  API and Data Contracts</w:t>
      </w:r>
    </w:p>
    <w:p w14:paraId="00000064">
      <w:pPr>
        <w:pStyle w:val="Heading3"/>
        <w:spacing w:after="90" w:line="280" w:lineRule="auto"/>
        <w:rPr/>
      </w:pPr>
      <w:bookmarkStart w:colFirst="0" w:colLast="0" w:name="_heading=h.tw1sfexklg0y" w:id="4"/>
      <w:bookmarkEnd w:id="4"/>
      <w:r>
        <w:rPr>
          <w:rtl w:val="0"/>
        </w:rPr>
        <w:t xml:space="preserve">Primary data contract</w:t>
      </w:r>
    </w:p>
    <w:p w14:paraId="00000065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tbl>
      <w:tblPr>
        <w:tblStyle w:val="Table5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344"/>
        <w:gridCol w:w="1921"/>
        <w:gridCol w:w="1873"/>
        <w:gridCol w:w="4302"/>
        <w:tblGridChange w:id="0">
          <w:tblGrid>
            <w:gridCol w:w="2344"/>
            <w:gridCol w:w="1921"/>
            <w:gridCol w:w="1873"/>
            <w:gridCol w:w="430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Field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Type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8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Required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9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Description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active_tool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workspace, remove_bg, upscale, vectorize, watermark.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source_path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6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Path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Existing user-selected input; never overwritten.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preset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enum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For vector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Logo, Illustration, Line Art, or Detailed.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source_mask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PIL 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For mask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Mask at original pixel dimensions; empty masks are rejected.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cancel_event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threading.Event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Shared cancellation token read by worker and subprocess loops.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media_info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7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MediaInfo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Video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Width, height, fps, duration, frame count, audio, rotation.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output_path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Path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Yes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8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Collision-safe destination selected by the user.</w:t>
            </w:r>
          </w:p>
        </w:tc>
      </w:tr>
    </w:tbl>
    <w:p w14:paraId="00000086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7">
      <w:pPr>
        <w:pStyle w:val="Heading3"/>
        <w:spacing w:after="90" w:line="280" w:lineRule="auto"/>
        <w:rPr/>
      </w:pPr>
      <w:bookmarkStart w:colFirst="0" w:colLast="0" w:name="_heading=h.379jmrhyew9b" w:id="5"/>
      <w:bookmarkEnd w:id="5"/>
      <w:r>
        <w:rPr>
          <w:rtl w:val="0"/>
        </w:rPr>
        <w:t xml:space="preserve">Contract guarantees</w:t>
      </w:r>
    </w:p>
    <w:p w14:paraId="00000088">
      <w:pPr>
        <w:spacing w:after="0" w:line="192" w:lineRule="auto"/>
        <w:rPr>
          <w:rFonts w:ascii="Helvetica Neue" w:cs="Helvetica Neue" w:eastAsia="Helvetica Neue" w:hAnsi="Helvetica Neue"/>
          <w:sz w:val="16"/>
          <w:szCs w:val="16"/>
        </w:rPr>
      </w:pPr>
      <w:r>
        <w:rPr>
          <w:rtl w:val="0"/>
        </w:rPr>
      </w:r>
    </w:p>
    <w:p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Kontrak UI dan service memvalidasi ukuran media, mask, preset, path output, dan status pembatalan sebelum proses.</w:t>
      </w:r>
    </w:p>
    <w:p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Satu operasi memiliki satu worker dan satu CancellationToken; tidak ada proses ganda dari tombol yang sama.</w:t>
      </w:r>
    </w:p>
    <w:p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Output mencatat input path, mode halaman, preset, ukuran, dan hasil probe yang tersedia untuk status pengguna.</w:t>
      </w:r>
    </w:p>
    <w:p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72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State UI adalah state sesi, bukan database atau sumber kebenaran file. File hasil yang sudah disimpan menjadi artefak user.</w:t>
      </w:r>
    </w:p>
    <w:p w14:paraId="0000008D">
      <w:pPr>
        <w:spacing w:after="110" w:line="300" w:lineRule="auto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Kontrak internal dipublikasikan pada source feature modules dan diperbarui bersama setiap perubahan workflow.</w:t>
      </w:r>
    </w:p>
    <w:p w14:paraId="0000008E">
      <w:pPr>
        <w:spacing w:after="110" w:line="300" w:lineRule="auto"/>
        <w:rPr>
          <w:rFonts w:ascii="Helvetica Neue" w:cs="Helvetica Neue" w:eastAsia="Helvetica Neue" w:hAnsi="Helvetica Neue"/>
        </w:rPr>
      </w:pPr>
      <w:hyperlink r:id="rId9">
        <w:r>
          <w:rPr>
            <w:rFonts w:ascii="Helvetica Neue" w:cs="Helvetica Neue" w:eastAsia="Helvetica Neue" w:hAnsi="Helvetica Neue"/>
            <w:color w:val="2f6b9a"/>
            <w:u w:val="single"/>
            <w:rtl w:val="0"/>
          </w:rPr>
          <w:t xml:space="preserve">[Link to interface or schema]</w:t>
        </w:r>
      </w:hyperlink>
      <w:r>
        <w:rPr>
          <w:rFonts w:ascii="Helvetica Neue" w:cs="Helvetica Neue" w:eastAsia="Helvetica Neue" w:hAnsi="Helvetica Neue"/>
          <w:color w:val="233447"/>
          <w:rtl w:val="0"/>
        </w:rPr>
        <w:t>Dokumen pendamping: docs/WHITEFLOOD_UI_REDESIGN.md.</w:t>
      </w:r>
    </w:p>
    <w:p w14:paraId="0000008F">
      <w:pPr>
        <w:pStyle w:val="Heading1"/>
        <w:spacing w:before="0" w:line="12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90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7. Consistency, Idempotency, and Replay</w:t>
      </w:r>
    </w:p>
    <w:p w14:paraId="00000091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92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Operasi baru bersifat single-run dan collision-safe. Retry hanya dimulai setelah temporary output dibersihkan. Untuk video, frame diproses streaming dan audio copy yang gagal boleh diulang sebagai video-only dengan warning yang terlihat. Mask tetap menjadi input yang sama untuk semua frame.</w:t>
      </w:r>
    </w:p>
    <w:tbl>
      <w:tblPr>
        <w:tblStyle w:val="Table6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37"/>
        <w:gridCol w:w="3722"/>
        <w:gridCol w:w="3381"/>
        <w:tblGridChange w:id="0">
          <w:tblGrid>
            <w:gridCol w:w="3337"/>
            <w:gridCol w:w="3722"/>
            <w:gridCol w:w="33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3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Scenario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4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Expected behavior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Reasoning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Duplicate save target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Ask for confirmation or choose a collision-safe name.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Prevents silent overwrite of user output.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Model or binary missing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Stop before processing and name the missing local resource.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 false success is worse than a clear setup error.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Cancel during media work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Stop worker/subprocess and remove only temporary output.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Input and already-saved output stay safe.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9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Settings change during worker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Keep the worker snapshot authoritative until it ends.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Prevents mid-process state drift.</w:t>
            </w:r>
          </w:p>
        </w:tc>
      </w:tr>
    </w:tbl>
    <w:p w14:paraId="000000A2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A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8. Security and Privacy Considerations</w:t>
      </w:r>
    </w:p>
    <w:p w14:paraId="000000A4">
      <w:pPr>
        <w:spacing w:after="0" w:line="96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A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Aplikasi desktop lokal tidak mengirim gambar atau video ke API cloud. Akses file mengikuti dialog Windows.</w:t>
      </w:r>
    </w:p>
    <w:p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Log dan status tidak boleh memuat isi gambar, mask, atau payload media; hanya path dan metadata yang diperlukan.</w:t>
      </w:r>
    </w:p>
    <w:p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Model, FFmpeg, dan konfigurasi path berada di resource lokal atau bundle; tidak ada credential service.</w:t>
      </w:r>
    </w:p>
    <w:p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Default memproses lokal, tidak menimpa input, tidak auto-process tool lain, dan tidak mengaktifkan tracking.</w:t>
      </w:r>
    </w:p>
    <w:p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Temporary output dihapus saat cancel/error; output yang dipilih user tidak dihapus otomatis oleh aplikasi.</w:t>
      </w:r>
    </w:p>
    <w:p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2" w:lineRule="auto"/>
        <w:ind w:left="0" w:right="0" w:firstLine="0"/>
        <w:jc w:val="both"/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1e252e"/>
          <w:sz w:val="20"/>
          <w:szCs w:val="20"/>
          <w:u w:val="none"/>
          <w:shd w:fill="auto" w:val="clear"/>
          <w:vertAlign w:val="baseline"/>
        </w:rPr>
      </w:pPr>
      <w:r>
        <w:rPr>
          <w:rtl w:val="0"/>
        </w:rPr>
      </w:r>
    </w:p>
    <w:p w14:paraId="000000AC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9.  Operational Readiness</w:t>
      </w:r>
    </w:p>
    <w:tbl>
      <w:tblPr>
        <w:tblStyle w:val="Table7"/>
        <w:tblW w:w="1044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400"/>
      </w:tblPr>
      <w:tblGrid>
        <w:gridCol w:w="2268"/>
        <w:gridCol w:w="3521"/>
        <w:gridCol w:w="2306"/>
        <w:gridCol w:w="2345"/>
        <w:tblGridChange w:id="0">
          <w:tblGrid>
            <w:gridCol w:w="2268"/>
            <w:gridCol w:w="3521"/>
            <w:gridCol w:w="2306"/>
            <w:gridCol w:w="234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Signal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SLO or alert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A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Owner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0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  <w:rtl w:val="0"/>
              </w:rPr>
              <w:t>Launch gate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Workflow completion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All required static contracts pass.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Bima / Codex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UI responsiveness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No heavy work on Tk main thread in source review.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Bima / Codex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8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Fallback and error rate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Missing resources and cancel paths are actionable.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Bima / Codex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C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Packaging drift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Bundled model/binary path is explicit and checksummed.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B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Bima / Codex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0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Output integrity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Dimensions, alpha, FPS, duration, orientation, and cleanup checks pass.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Bima / Codex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4">
            <w:pPr>
              <w:spacing w:after="25" w:before="20" w:line="285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>
              <w:rPr>
                <w:rFonts w:ascii="Helvetica Neue" w:cs="Helvetica Neue" w:eastAsia="Helvetica Neue" w:hAnsi="Helvetica Neue"/>
                <w:color w:val="233447"/>
                <w:sz w:val="16"/>
                <w:szCs w:val="16"/>
                <w:rtl w:val="0"/>
              </w:rPr>
              <w:t>Required</w:t>
            </w:r>
          </w:p>
        </w:tc>
      </w:tr>
      <w:tr>
        <w:trPr>
          <w:cantSplit w:val="1"/>
          <w:tblHeader w:val="0"/>
        </w:trPr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082a4a"/>
                <w:rtl w:val="0"/>
              </w:rPr>
              <w:t>Required</w:t>
            </w:r>
          </w:p>
        </w:tc>
      </w:tr>
    </w:tbl>
    <w:p w14:paraId="000000C9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CA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>Alternatif berikut dipertimbangkan terhadap batas Windows lokal, dependency, privasi, dan risiko integrasi.</w:t>
      </w:r>
    </w:p>
    <w:p w14:paraId="000000CB">
      <w:pPr>
        <w:spacing w:after="0" w:line="14.39999999999999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p w14:paraId="000000CC">
      <w:pPr>
        <w:spacing w:after="0" w:line="192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tbl>
      <w:tblPr>
        <w:tblStyle w:val="Table8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3303"/>
        <w:gridCol w:w="3313"/>
        <w:gridCol w:w="3824"/>
        <w:tblGridChange w:id="0">
          <w:tblGrid>
            <w:gridCol w:w="3303"/>
            <w:gridCol w:w="3313"/>
            <w:gridCol w:w="38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D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Alternative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E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Why it was considered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CF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Why it was not selected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Rewrite UI in web React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More visual design tooling.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Would replace the approved native Windows stack and add packaging risk.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Keep one generic inspector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4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Smallest code diff.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5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Makes page ownership and feature-specific states unclear.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6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Add CairoSVG preview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7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Could render SVG in-app.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Adds native Windows dependency without being required for the MVP.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Use cloud inpainting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Could reduce local model setup.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D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Violates local-first privacy boundary without explicit approval.</w:t>
            </w:r>
          </w:p>
        </w:tc>
      </w:tr>
    </w:tbl>
    <w:p w14:paraId="000000DC">
      <w:pPr>
        <w:pStyle w:val="Heading1"/>
        <w:spacing w:before="0" w:line="269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DD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11. Open Questions</w:t>
      </w:r>
    </w:p>
    <w:p w14:paraId="000000D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Apakah lebar rail dan pembagian inspector pada board visual sudah sesuai ukuran monitor kantor yang dipakai Bima?</w:t>
      </w:r>
    </w:p>
    <w:p w14:paraId="000000D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Apakah folder FFmpeg yang akan dibundel sudah tersedia dan checksum/notice lisensinya sudah disepakati?</w:t>
      </w:r>
    </w:p>
    <w:p w14:paraId="000000E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>Apakah halaman Workspace perlu menjadi halaman awal default atau aplikasi tetap membuka alat terakhir?</w:t>
      </w:r>
    </w:p>
    <w:p w14:paraId="000000E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90" w:lineRule="auto"/>
        <w:ind w:left="360" w:right="0" w:hanging="360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233447"/>
          <w:sz w:val="20"/>
          <w:szCs w:val="20"/>
          <w:u w:val="none"/>
          <w:shd w:fill="auto" w:val="clear"/>
          <w:vertAlign w:val="baseline"/>
          <w:rtl w:val="0"/>
        </w:rPr>
        <w:t xml:space="preserve">[Open question 4: identify an ownership, access-control, or tooling decision.]</w:t>
      </w:r>
      <w:r>
        <w:rPr>
          <w:rtl w:val="0"/>
        </w:rPr>
      </w:r>
    </w:p>
    <w:p w14:paraId="000000E2">
      <w:pPr>
        <w:pStyle w:val="Heading1"/>
        <w:spacing w:before="0" w:lineRule="auto"/>
        <w:rPr>
          <w:rFonts w:ascii="Helvetica Neue" w:cs="Helvetica Neue" w:eastAsia="Helvetica Neue" w:hAnsi="Helvetica Neue"/>
          <w:color w:val="000000"/>
        </w:rPr>
      </w:pPr>
      <w:r>
        <w:rPr>
          <w:rtl w:val="0"/>
        </w:rPr>
      </w:r>
    </w:p>
    <w:p w14:paraId="000000E3">
      <w:pPr>
        <w:pStyle w:val="Heading1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rtl w:val="0"/>
        </w:rPr>
        <w:t xml:space="preserve">12. Decision and Next Steps</w:t>
      </w:r>
    </w:p>
    <w:p w14:paraId="000000E4">
      <w:pPr>
        <w:spacing w:after="110" w:line="300" w:lineRule="auto"/>
        <w:jc w:val="both"/>
        <w:rPr>
          <w:rFonts w:ascii="Helvetica Neue" w:cs="Helvetica Neue" w:eastAsia="Helvetica Neue" w:hAnsi="Helvetica Neue"/>
        </w:rPr>
      </w:pPr>
      <w:r>
        <w:rPr>
          <w:rFonts w:ascii="Helvetica Neue" w:cs="Helvetica Neue" w:eastAsia="Helvetica Neue" w:hAnsi="Helvetica Neue"/>
          <w:color w:val="233447"/>
          <w:rtl w:val="0"/>
        </w:rPr>
        <w:t>Rekomendasi: implementasikan shell dan inspector baru terlebih dahulu, lalu kunci regression test Remove Background/Upscale sebelum Vectorize dan Watermark masuk. Milestone pertama adalah UI state map dan screenshot source run. Setelah itu fitur dipasang bertahap: Vectorize, Watermark Image, lalu Watermark Video. Promosi lebih luas menunggu syntax, unit/static test, GUI smoke test, screenshot, dan verifikasi output yang relevan.</w:t>
      </w:r>
    </w:p>
    <w:tbl>
      <w:tblPr>
        <w:tblStyle w:val="Table9"/>
        <w:tblW w:w="10440.0" w:type="dxa"/>
        <w:jc w:val="center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00"/>
      </w:tblPr>
      <w:tblGrid>
        <w:gridCol w:w="2954"/>
        <w:gridCol w:w="3713"/>
        <w:gridCol w:w="3773"/>
        <w:tblGridChange w:id="0">
          <w:tblGrid>
            <w:gridCol w:w="2954"/>
            <w:gridCol w:w="3713"/>
            <w:gridCol w:w="377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5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Milestone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6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Deliverable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082a4a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7">
            <w:pPr>
              <w:spacing w:after="0" w:before="20" w:line="26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rtl w:val="0"/>
              </w:rPr>
              <w:t>Exit criteria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8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M1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9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Shared shell and page state map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A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Existing Remove Background and Upscale behavior remains intact in static review.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B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M2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C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Vectorize Image page and service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D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Valid SVG, invalid-input handling, collision safety, and tests pass.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E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M3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EF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Watermark Image page and mask service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fffff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0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Source-pixel mask mapping, alpha, dimensions, cancel, and cleanup checks pass.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e6f0f8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1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M4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2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Watermark Video page and streaming processor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f6f9fc" w:val="clear"/>
            <w:tcMar>
              <w:top w:w="110.0" w:type="dxa"/>
              <w:left w:w="120.0" w:type="dxa"/>
              <w:bottom w:w="110.0" w:type="dxa"/>
              <w:right w:w="120.0" w:type="dxa"/>
            </w:tcMar>
            <w:vAlign w:val="center"/>
          </w:tcPr>
          <w:p w14:paraId="000000F3">
            <w:pPr>
              <w:spacing w:after="25" w:before="20" w:line="285" w:lineRule="auto"/>
              <w:rPr>
                <w:rFonts w:ascii="Helvetica Neue" w:cs="Helvetica Neue" w:eastAsia="Helvetica Neue" w:hAnsi="Helvetica Neue"/>
              </w:rPr>
            </w:pPr>
            <w:r>
              <w:rPr>
                <w:rFonts w:ascii="Helvetica Neue" w:cs="Helvetica Neue" w:eastAsia="Helvetica Neue" w:hAnsi="Helvetica Neue"/>
                <w:color w:val="233447"/>
                <w:rtl w:val="0"/>
              </w:rPr>
              <w:t>FFprobe metadata, frame progress, audio fallback, orientation, and temp cleanup pass.</w:t>
            </w:r>
          </w:p>
        </w:tc>
      </w:tr>
    </w:tbl>
    <w:p w14:paraId="000000F4">
      <w:pPr>
        <w:spacing w:after="120" w:line="269" w:lineRule="auto"/>
        <w:rPr>
          <w:rFonts w:ascii="Helvetica Neue" w:cs="Helvetica Neue" w:eastAsia="Helvetica Neue" w:hAnsi="Helvetica Neue"/>
        </w:rPr>
      </w:pPr>
      <w:r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[Organization Name] | System Design RFC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