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Gemini</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in progress. Tasks 010, 010A, 011B and 011 are implemented, committed and integrated into local main (at commit 239c161). Phase 3 (Webhook ingestion) remains in progress until Task 011A is implemented and verified.</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October 2026</w:t>
            </w:r>
          </w:p>
        </w:tc>
      </w:tr>
      <w:tr>
        <w:trPr>
          <w:trHeight w:hRule="atLeast"/>
        </w:trPr>
        <w:tc>
          <w:tcPr>
            <w:tcW w:type="dxa" w:w="5040"/>
            <w:vAlign w:val="center"/>
          </w:tcPr>
          <w:p>
            <w:pPr>
              <w:spacing w:after="0"/>
            </w:pPr>
            <w:r/>
            <w:r>
              <w:rPr>
                <w:rFonts w:ascii="Aptos" w:hAnsi="Aptos"/>
                <w:b w:val="0"/>
                <w:sz w:val="16"/>
              </w:rPr>
              <w:t>Amendment history</w:t>
            </w:r>
          </w:p>
        </w:tc>
        <w:tc>
          <w:tcPr>
            <w:tcW w:type="dxa" w:w="5040"/>
            <w:vAlign w:val="center"/>
          </w:tcPr>
          <w:p>
            <w:pPr>
              <w:spacing w:after="0"/>
            </w:pPr>
            <w:r/>
            <w:r>
              <w:rPr>
                <w:rFonts w:ascii="Aptos" w:hAnsi="Aptos"/>
                <w:b w:val="0"/>
                <w:sz w:val="16"/>
              </w:rPr>
              <w:t>2026-10-12: Roadmap amended with Tasks 010A, 011A and 011B and revised Task 011 dependencies; Phase 3 completion gates added; Fastify 5.12.5 accepted (D-015, O-001 resolved); webhook transport boundary documented (Section 10, D-016, D-017); webhook secret mechanism, durable security-audit recording and rate limiting requirements recorded (Section 18); unresolved D-014 reference and Section 13 Operation.integrationId discrepancy noted. Version designation unchanged (V1.0). 2026-10-13: Task 011B webhook rate-limiting design approved (Section 10 "Webhook rate limiting (Task 011B)"; D-018, D-019, D-020; O-011 added); fixed API error-code set recorded (Section 16); Sections 17, 18 and 19 updated accordingly. Version designation unchanged (V1.0). 2026-10-14: Task 011A webhook security-audit and rate-limit evidence design approved (Section 13 RateLimitEvidence; Section 17 "Webhook rejection and rate-limit evidence (Task 011A)"; D-021, D-022, D-023; O-012 added); Sections 18 and 19 updated accordingly. Version designation unchanged (V1.0). 2026-10-16: Task 011 durable event ingestion design approved (Section 10 "Durable event ingestion (Task 011)" and the Layer 2 rejection-status list; Section 13 Event fields and payload strategy; Section 16 error-code set; Sections 17 and 19; D-024, D-025, D-026, D-027, D-028). Version designation unchanged (V1.0). 2026-10-18: Task 011 implementation recorded: application response deadline added to Section 10 "Durable event ingestion (Task 011)" (Task 011 deviation DEV-2; D-029; O-013 added); Section 19 failure test added; Status updated (Tasks 011B and 011 integrated). Version designation unchanged (V1.0).</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handoff will always reference this document as the governing context and will add one narrowly scoped task. Claude may propose implementation details, but proposals are not decisions until the architect accepts them.</w:t>
      </w:r>
    </w:p>
    <w:p>
      <w:r>
        <w:t>Gemini is used as an independent technical challenger. Its findings are evidence for review, not automatic architectural changes.</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5.12.5 (accepted, D-015)</w:t>
            </w:r>
          </w:p>
        </w:tc>
        <w:tc>
          <w:tcPr>
            <w:tcW w:type="dxa" w:w="3360"/>
            <w:vAlign w:val="center"/>
          </w:tcPr>
          <w:p>
            <w:pPr>
              <w:spacing w:after="0"/>
            </w:pPr>
            <w:r/>
            <w:r>
              <w:rPr>
                <w:rFonts w:ascii="Aptos" w:hAnsi="Aptos"/>
                <w:b w:val="0"/>
                <w:sz w:val="16"/>
              </w:rPr>
              <w:t>Schema-oriented, TypeScript-friendly API boundary. Used by apps/api.</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Peer rate limit (Task 011B: L1 requests, L2 rejection allowance)</w:t>
        <w:br/>
        <w:t xml:space="preserve">      ↓</w:t>
        <w:br/>
        <w:t>Identify integration</w:t>
        <w:br/>
        <w:t xml:space="preserve">      ↓</w:t>
        <w:br/>
        <w:t>Verify signature</w:t>
        <w:br/>
        <w:t xml:space="preserve">      ↓</w:t>
        <w:br/>
        <w:t>Validate envelope</w:t>
        <w:br/>
        <w:t xml:space="preserve">      ↓</w:t>
        <w:br/>
        <w:t>Integration rate limit (Task 011B: L3)</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Transport boundary (Task 010A)</w:t>
      </w:r>
    </w:p>
    <w:p>
      <w:r>
        <w:t>Task 010A establishes the HTTP transport boundary for POST /api/webhooks/:integrationKey in apps/api (Fastify 5.12.5, D-015). It covers the Identify integration and Verify signature stages of the flow above and the handoff to ingestion; the later stages remain with Task 011. The boundary must satisfy the following:</w:t>
      </w:r>
    </w:p>
    <w:p>
      <w:pPr>
        <w:pStyle w:val="ListBullet"/>
        <w:spacing w:after="40"/>
      </w:pPr>
      <w:r>
        <w:t>The API preserves the exact incoming request bytes and enforces a bounded body size. The bytes are passed to the verifier unmodified and are never re-serialized.</w:t>
      </w:r>
    </w:p>
    <w:p>
      <w:pPr>
        <w:pStyle w:val="ListBullet"/>
        <w:spacing w:after="40"/>
      </w:pPr>
      <w:r>
        <w:t>The Task 010 verifier remains the sole cryptographic authority. The transport boundary performs no signature comparison, timestamp check, or envelope validation of its own, and nothing in the request is trusted until the verifier succeeds.</w:t>
      </w:r>
    </w:p>
    <w:p>
      <w:pPr>
        <w:pStyle w:val="ListBullet"/>
        <w:spacing w:after="40"/>
      </w:pPr>
      <w:r>
        <w:t>A request with a missing IRS-Signature header receives a generic 401 response before the request body is consumed. All other verification, including signature comparison, remains with the Task 010 verifier.</w:t>
      </w:r>
    </w:p>
    <w:p>
      <w:pPr>
        <w:pStyle w:val="ListBullet"/>
        <w:spacing w:after="40"/>
      </w:pPr>
      <w:r>
        <w:t>The integrationKey is the Integration.id: only canonical lowercase UUIDs, of any version, are accepted (D-016). The webhook secret is looked up in the initial IRS_WEBHOOK_SECRETS configuration, which is keyed by the same Integration.id (D-017). An identifier without a configured secret fails closed.</w:t>
      </w:r>
    </w:p>
    <w:p>
      <w:pPr>
        <w:pStyle w:val="ListBullet"/>
        <w:spacing w:after="40"/>
      </w:pPr>
      <w:r>
        <w:t>The ingestion handoff is injectable and carries the original request bytes and the verified envelope.</w:t>
      </w:r>
    </w:p>
    <w:p>
      <w:pPr>
        <w:pStyle w:val="ListBullet"/>
        <w:spacing w:after="40"/>
      </w:pPr>
      <w:r>
        <w:t>The production handoff returns HTTP 503 until Task 011 provides durable acceptance. No successful HTTP acknowledgement is sent before durable acceptance is established.</w:t>
      </w:r>
    </w:p>
    <w:p>
      <w:pPr>
        <w:pStyle w:val="ListBullet"/>
        <w:spacing w:after="40"/>
      </w:pPr>
      <w:r>
        <w:t>Raw-byte storage and duplicate-delivery semantics (including the response to a duplicate delivery) remain decisions for Task 011 and are not made by Task 010A.</w:t>
      </w:r>
    </w:p>
    <w:p>
      <w:pPr>
        <w:pStyle w:val="ListBullet"/>
        <w:spacing w:after="40"/>
      </w:pPr>
      <w:r>
        <w:t>Durable recording of rejected webhooks (Task 011A) and endpoint rate limiting (Task 011B) are separate tasks and are not delivered by Task 010A.</w:t>
      </w:r>
    </w:p>
    <w:p>
      <w:pPr>
        <w:pStyle w:val="Heading2"/>
      </w:pPr>
      <w:r>
        <w:t>Webhook rate limiting (Task 011B)</w:t>
      </w:r>
    </w:p>
    <w:p>
      <w:r>
        <w:t>Task 011B bounds the volume of requests reaching POST /api/webhooks/:integrationKey with a process-local token-bucket limiter in apps/api (D-018). It requires no new dependency and no external store. The limiter must satisfy the following:</w:t>
      </w:r>
    </w:p>
    <w:p>
      <w:pPr>
        <w:pStyle w:val="ListBullet"/>
        <w:spacing w:after="40"/>
      </w:pPr>
      <w:r>
        <w:t>Layer 1 limits all requests per network peer before any route processing.</w:t>
      </w:r>
    </w:p>
    <w:p>
      <w:pPr>
        <w:pStyle w:val="ListBullet"/>
        <w:spacing w:after="40"/>
      </w:pPr>
      <w:r>
        <w:t>Layer 2 limits the number of individually delivered rejections (HTTP 400, 401, 404, 413, 415 and 422) per network peer. Valid requests do not consume this allowance. While a peer's allowance holds less than one unit, every request from that peer, including an otherwise valid signed request, receives the rate-limit response before signature verification until the allowance refills. Peers that share a network address therefore share this allowance, and a sender that repeatedly causes rejections can keep a shared address blocked. This behaviour is a development policy and must be reassessed before public exposure (O-011).</w:t>
      </w:r>
    </w:p>
    <w:p>
      <w:pPr>
        <w:pStyle w:val="ListBullet"/>
        <w:spacing w:after="40"/>
      </w:pPr>
      <w:r>
        <w:t>Layer 3 limits deliveries per Integration.id after the Task 010 verifier has accepted the signature, timestamp, payload and envelope, and before the ingestion handoff. No per-integration limit is applied, and no per-integration entry is created, before signature verification.</w:t>
      </w:r>
    </w:p>
    <w:p>
      <w:pPr>
        <w:pStyle w:val="ListBullet"/>
        <w:spacing w:after="40"/>
      </w:pPr>
      <w:r>
        <w:t>The network peer is the directly connected socket address, with IPv4-mapped IPv6 addresses normalized and IPv6 addresses grouped by /64 prefix. Forwarding headers are never trusted; trusted-proxy client-address derivation requires a separate decision before public exposure (O-011).</w:t>
      </w:r>
    </w:p>
    <w:p>
      <w:pPr>
        <w:pStyle w:val="ListBullet"/>
        <w:spacing w:after="40"/>
      </w:pPr>
      <w:r>
        <w:t>A Layer 2 rejection allowance is consumed synchronously before the rejection is sent. A rejection for which no allowance is available is sent as the rate-limit response instead. Rate-limit responses never consume Layer 2 allowance.</w:t>
      </w:r>
    </w:p>
    <w:p>
      <w:pPr>
        <w:pStyle w:val="ListBullet"/>
        <w:spacing w:after="40"/>
      </w:pPr>
      <w:r>
        <w:t>A rate-limited request receives HTTP 429 with the generic error body and the fixed code TOO_MANY_REQUESTS (D-019), a Retry-After header in whole seconds, and Connection: close. No rate-limit quota headers are sent. No response, status or header is written to a connection that has already been destroyed.</w:t>
      </w:r>
    </w:p>
    <w:p>
      <w:pPr>
        <w:pStyle w:val="ListBullet"/>
        <w:spacing w:after="40"/>
      </w:pPr>
      <w:r>
        <w:t>A limiter fault produces the generic HTTP 500 response.</w:t>
      </w:r>
    </w:p>
    <w:p>
      <w:pPr>
        <w:pStyle w:val="ListBullet"/>
        <w:spacing w:after="40"/>
      </w:pPr>
      <w:r>
        <w:t>Every limiter table, including the per-integration table, has a fixed key capacity. When a table is full, new keys share one overflow bucket that is no more permissive than an individual key's bucket; keys sharing an overflow bucket contend for it, and active buckets are never evicted.</w:t>
      </w:r>
    </w:p>
    <w:p>
      <w:pPr>
        <w:pStyle w:val="ListBullet"/>
        <w:spacing w:after="40"/>
      </w:pPr>
      <w:r>
        <w:t>Requests rejected by the Node.js HTTP layer before the application observes them (malformed HTTP, header and request-framing errors, header and request timeouts) are outside all application-level rate-limit guarantees and counters. Connection-level protection for them is required before public exposure (O-011).</w:t>
      </w:r>
    </w:p>
    <w:p>
      <w:pPr>
        <w:pStyle w:val="ListBullet"/>
        <w:spacing w:after="40"/>
      </w:pPr>
      <w:r>
        <w:t>Initial limits are provisional development defaults. Layer 3 limits, key capacity and overflow behaviour must be re-evaluated after Task 011 throughput measurements; all limits must be re-evaluated before public deployment.</w:t>
      </w:r>
    </w:p>
    <w:p>
      <w:pPr>
        <w:pStyle w:val="ListBullet"/>
        <w:spacing w:after="40"/>
      </w:pPr>
      <w:r>
        <w:t>Rate-limit evidence is produced as bounded aggregate summaries with sequence coverage for Task 011A (Section 17). Counters that have not yet been durably recorded are lost if the process terminates abnormally; such gaps must be recorded explicitly and never estimated.</w:t>
      </w:r>
    </w:p>
    <w:p>
      <w:pPr>
        <w:pStyle w:val="Heading2"/>
      </w:pPr>
      <w:r>
        <w:t>Durable event ingestion (Task 011)</w:t>
      </w:r>
    </w:p>
    <w:p>
      <w:pPr>
        <w:pStyle w:val="ListBullet"/>
        <w:spacing w:after="40"/>
      </w:pPr>
      <w:r>
        <w:t>A verified delivery admitted by Layer 3 is persisted in one database transaction before any successful response. HTTP 202 is sent only after the transaction commit has been acknowledged.</w:t>
      </w:r>
    </w:p>
    <w:p>
      <w:pPr>
        <w:pStyle w:val="ListBullet"/>
        <w:spacing w:after="40"/>
      </w:pPr>
      <w:r>
        <w:t>The inbound idempotency key is (Integration.id, externalEventId), enforced by a unique constraint. A delivery whose key already exists is a duplicate: it receives the same HTTP 202 response as a new event, never modifies the stored event, and is recorded durably.</w:t>
      </w:r>
    </w:p>
    <w:p>
      <w:pPr>
        <w:pStyle w:val="ListBullet"/>
        <w:spacing w:after="40"/>
      </w:pPr>
      <w:r>
        <w:t>Every accepted delivery, new or duplicate, is recorded as an AuditEntry with action EVENT_RECEIVED whose identifier equals the server-generated request ID, in the same transaction as the event.</w:t>
      </w:r>
    </w:p>
    <w:p>
      <w:pPr>
        <w:pStyle w:val="ListBullet"/>
        <w:spacing w:after="40"/>
      </w:pPr>
      <w:r>
        <w:t>A duplicate whose received bytes differ from the stored event is acknowledged and recorded as a content mismatch; the stored event is never overwritten.</w:t>
      </w:r>
    </w:p>
    <w:p>
      <w:pPr>
        <w:pStyle w:val="ListBullet"/>
        <w:spacing w:after="40"/>
      </w:pPr>
      <w:r>
        <w:t>Database unavailability, contention, timeouts and commit outcomes that cannot be confirmed produce HTTP 503; data, configuration and internal faults produce HTTP 500. Neither implies that the event was or was not stored, and a retried delivery is resolved through the idempotency key.</w:t>
      </w:r>
    </w:p>
    <w:p>
      <w:pPr>
        <w:pStyle w:val="ListBullet"/>
        <w:spacing w:after="40"/>
      </w:pPr>
      <w:r>
        <w:t>Accepted events are stored in state VALIDATED; queue dispatch is Task 012.</w:t>
      </w:r>
    </w:p>
    <w:p>
      <w:pPr>
        <w:pStyle w:val="ListBullet"/>
        <w:spacing w:after="40"/>
      </w:pPr>
      <w:r>
        <w:t>Only integrations whose configuration status is ACTIVE are eligible for webhook ingestion. A verified, admitted delivery for an integration that is DRAFT, DISABLED or DECOMMISSIONED, or that is not registered, receives HTTP 404 and creates no event and no EVENT_RECEIVED record; any rejection evidence follows the rejection-audit rules.</w:t>
      </w:r>
    </w:p>
    <w:p>
      <w:pPr>
        <w:pStyle w:val="ListBullet"/>
        <w:spacing w:after="40"/>
      </w:pPr>
      <w:r>
        <w:t>A verified, admitted delivery whose payload contains a condition that a deterministic pre-validation proves cannot be stored (a U+0000 character or an unpaired surrogate) receives HTTP 422 UNPROCESSABLE_PAYLOAD before any ingestion-path database access and creates no event. Database errors, timeouts, connectivity failures and unconfirmed commits never produce HTTP 422.</w:t>
      </w:r>
    </w:p>
    <w:p>
      <w:pPr>
        <w:pStyle w:val="ListBullet"/>
        <w:spacing w:after="40"/>
      </w:pPr>
      <w:r>
        <w:t>A verified delivery admitted by Layer 3 is subject to an application response deadline, an end-to-end limit measured from routing that includes receipt of the request body. A delivery whose ingestion result has not been observed by the deadline receives HTTP 503 SERVICE_UNAVAILABLE, which, like any other 503, does not imply that the event was or was not stored; a result observed later is logged once and is never sent as a second response. The deadline does not cancel the database work or release its connection, so the event may be committed after the 503, and a retried delivery is then resolved through the idempotency key as a duplicate. The deadline's timing is a target under a responsive event loop, not a hard real-time guarantee. Its value (the request timeout plus 5 seconds, currently 15 seconds) is provisional and must be reassessed against target senders' delivery timeouts before deployment. The HTTP framework's own handler timeout bounds only the time before the request body has been read.</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rawBody, rawBodySha256,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r>
        <w:trPr>
          <w:trHeight w:hRule="atLeast"/>
        </w:trPr>
        <w:tc>
          <w:tcPr>
            <w:tcW w:type="dxa" w:w="5040"/>
            <w:vAlign w:val="center"/>
          </w:tcPr>
          <w:p>
            <w:pPr>
              <w:spacing w:after="0"/>
            </w:pPr>
            <w:r/>
            <w:r>
              <w:rPr>
                <w:rFonts w:ascii="Aptos" w:hAnsi="Aptos"/>
                <w:b w:val="0"/>
                <w:sz w:val="16"/>
              </w:rPr>
              <w:t>RateLimitEvidence</w:t>
            </w:r>
          </w:p>
        </w:tc>
        <w:tc>
          <w:tcPr>
            <w:tcW w:type="dxa" w:w="5040"/>
            <w:vAlign w:val="center"/>
          </w:tcPr>
          <w:p>
            <w:pPr>
              <w:spacing w:after="0"/>
            </w:pPr>
            <w:r/>
            <w:r>
              <w:rPr>
                <w:rFonts w:ascii="Aptos" w:hAnsi="Aptos"/>
                <w:b w:val="0"/>
                <w:sz w:val="16"/>
              </w:rPr>
              <w:t>id, limiterInstanceId, scope, kind, gapReason, firstSequence, lastSequence, missingFrom, missingTo, payload, recordSha256, recordedAt</w:t>
            </w:r>
          </w:p>
        </w:tc>
      </w:tr>
    </w:tbl>
    <w:p>
      <w:pPr>
        <w:spacing w:after="40"/>
      </w:pPr>
    </w:p>
    <w:p>
      <w:r>
        <w:t>Rejected webhook deliveries are recorded as AuditEntry rows with action EVENT_REJECTED whose id equals the server-generated request ID, so that retries are idempotent. RateLimitEvidence holds rate-limit and rejection-audit aggregate summaries, evidence gaps and limiter-instance lifecycle records; its natural keys are enforced by unique indexes and overlapping summary ranges are rejected (D-021, D-022).</w:t>
      </w: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 Accepted webhook events also store the exact received request bytes (rawBody) and their SHA-256 digest; the parsed payload is stored as JSONB for inspection and is never used to reconstruct the original bytes (Task 011).</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t>Error responses from apps/api use a generic flat body {"error": &lt;code&gt;, "requestId": &lt;server-generated request ID&gt;} with a closed set of fixed codes: BAD_REQUEST (400), UNAUTHORIZED (401), NOT_FOUND (404), REQUEST_TIMEOUT (408), PAYLOAD_TOO_LARGE (413), UNSUPPORTED_MEDIA_TYPE (415), UNPROCESSABLE_PAYLOAD (422), TOO_MANY_REQUESTS (429), INTERNAL_ERROR (500) and SERVICE_UNAVAILABLE (503) (D-019, D-027). Responses generated by the Node.js HTTP layer before the application observes a request are outside this contract and outside all application-level rate-limit guarantees and counters (O-011).</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r>
        <w:t>Raw client network addresses are not logged by default. Rate-limit events contain only the limiting layer, the request ID and a process-scoped keyed fingerprint of the normalized peer key (D-020).</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t>EVENT_RECEIVED records each accepted webhook delivery and whether it created a new event or was a duplicate (Task 011).</w:t>
      </w:r>
    </w:p>
    <w:p>
      <w:r>
        <w:t>Webhook requests rejected with HTTP 429 are not recorded as individual EVENT_REJECTED entries. They are recorded as bounded aggregate summaries that identify the limiter instance and the sequence range they cover. Missing coverage, including coverage lost through abnormal process termination, is recorded explicitly as an evidence gap without estimated counts. Evidence records are immutable once a write is attempted and are persisted transactionally or idempotently. Event names and persistence are defined by Task 011A.</w:t>
      </w:r>
    </w:p>
    <w:p>
      <w:pPr>
        <w:pStyle w:val="Heading2"/>
      </w:pPr>
      <w:r>
        <w:t>Webhook rejection and rate-limit evidence (Task 011A)</w:t>
      </w:r>
    </w:p>
    <w:p>
      <w:pPr>
        <w:pStyle w:val="ListBullet"/>
        <w:spacing w:after="40"/>
      </w:pPr>
      <w:r>
        <w:t>Only webhook requests whose rejection consumed a Layer 2 rejection allowance (Section 10) are eligible for an individual EVENT_REJECTED record. Rate-limited requests, successful deliveries and server-side failures are never recorded as individual rejections.</w:t>
      </w:r>
    </w:p>
    <w:p>
      <w:pPr>
        <w:pStyle w:val="ListBullet"/>
        <w:spacing w:after="40"/>
      </w:pPr>
      <w:r>
        <w:t>An individual record is an AuditEntry row whose structural fields are fixed: its identifier and entity identifier equal the server-generated request ID, the action is EVENT_REJECTED, the entity type is WEBHOOK_DELIVERY, the actor type is EXTERNAL_SENDER with no actor identifier, and the creation time is the time the record was admitted. Its metadata contains only these allowlisted fields: schema version; limiter-instance identifier; receipt time; rejection stage; HTTP status; fixed error code; canonical integration identifier, when one was validated; the verifier's fixed rejection reason, when applicable; and the observed response-completion state. "Finish observed" means the server observed its response finish event and is not proof that the client received the response; "close before finish" means the connection closed before that event and does not prove that no response bytes reached the client. Request bodies, signatures, secrets, headers, cookies, query strings, raw path parameters, raw client network addresses and peer fingerprints are never recorded.</w:t>
      </w:r>
    </w:p>
    <w:p>
      <w:pPr>
        <w:pStyle w:val="ListBullet"/>
        <w:spacing w:after="40"/>
      </w:pPr>
      <w:r>
        <w:t>Individual records are submitted after the server observes its response finish event or a connection close that precedes it. Audit recording never changes a webhook response or a rate-limit decision.</w:t>
      </w:r>
    </w:p>
    <w:p>
      <w:pPr>
        <w:pStyle w:val="ListBullet"/>
        <w:spacing w:after="40"/>
      </w:pPr>
      <w:r>
        <w:t>A global write ceiling and a bounded queue limit individual audit writes. Every rejection that is suppressed, dropped, in conflict, or still unconfirmed when shutdown retries stop is counted exactly in memory; unconfirmed records are reported separately as not attempted or of unknown outcome, never as lost or persisted. These counts become durable only when an aggregate summary containing them is persisted; counts accumulated after the last durable summary cannot be recovered after an abnormal termination.</w:t>
      </w:r>
    </w:p>
    <w:p>
      <w:pPr>
        <w:pStyle w:val="ListBullet"/>
        <w:spacing w:after="40"/>
      </w:pPr>
      <w:r>
        <w:t>Aggregate summaries carry rate-limit and rejection-audit counters for the same limiter instance and sequence range. Each evidence record is frozen before its first write attempt and persisted transactionally or idempotently; an existing record satisfies a write only if the complete record, not only its payload, is identical. Conflicting content is a fault and is never overwritten.</w:t>
      </w:r>
    </w:p>
    <w:p>
      <w:pPr>
        <w:pStyle w:val="ListBullet"/>
        <w:spacing w:after="40"/>
      </w:pPr>
      <w:r>
        <w:t>The API registers its limiter instance durably, after recording evidence gaps for previously unclosed instances, and starts its evidence writers before it accepts connections. It does not start if these writes fail or if an existing evidence record conflicts and cannot be validated. Shutdown and a failed start after registration use the same time-bounded finalization, which first resolves any evidence write still awaiting confirmation and never begins a new summary while one is unresolved; an instance-closed record is written only after all aggregate evidence has been confirmed within that bound, and a forced shutdown is recorded as such and is not treated as complete evidence.</w:t>
      </w:r>
    </w:p>
    <w:p>
      <w:pPr>
        <w:pStyle w:val="ListBullet"/>
        <w:spacing w:after="40"/>
      </w:pPr>
      <w:r>
        <w:t>Missing sequence ranges are recorded as explicit gaps, including a missing initial range. Missing rate-limit activity is derived only from recorded totals and never estimated; rejection-audit activity is never attributed to a missing range, and the summary that follows a gap is marked as not verified for audit alignment. A sequence range that overlaps or runs backwards is never recorded or converted into a gap; evidence recording stops for that instance, it is never recorded as cleanly closed, and its remaining activity is reported as unknown.</w:t>
      </w:r>
    </w:p>
    <w:p>
      <w:pPr>
        <w:pStyle w:val="ListBullet"/>
        <w:spacing w:after="40"/>
      </w:pPr>
      <w:r>
        <w:t>Reports distinguish confirmed activity, confirmed zero activity (zero in both rate-limit and rejection-audit counters), known gaps and unknown activity, including activity that may have occurred after a forced shutdown; counts that were not durably recorded before an abnormal termination are reported as unknown (D-023).</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Initial webhook-secret mechanism</w:t>
      </w:r>
    </w:p>
    <w:p>
      <w:r>
        <w:t>Per D-017, webhook secrets are initially supplied through environment-backed configuration (IRS_WEBHOOK_SECRETS), keyed by Integration.id. The variable is a comma-separated list of integration-uuid=hex-secret entries: each key is a canonical lowercase UUID of any version (the Integration.id) and each secret is lowercase hexadecimal of even length that decodes to at least 32 bytes (at least 64 hexadecimal characters). Malformed entries and duplicate integration IDs are rejected, and an absent or empty variable configures no integrations, so every webhook then fails closed. This mechanism is limited to local development, demonstrations, and controlled mock-provider use; it is not a production secret-management design. Secret-store selection and secret rotation remain open follow-up requirements.</w:t>
      </w:r>
    </w:p>
    <w:p>
      <w:pPr>
        <w:pStyle w:val="Heading2"/>
      </w:pPr>
      <w:r>
        <w:t>Security-audit recording and rate limiting</w:t>
      </w:r>
    </w:p>
    <w:p>
      <w:pPr>
        <w:pStyle w:val="ListBullet"/>
        <w:spacing w:after="40"/>
      </w:pPr>
      <w:r>
        <w:t>Rejected webhook deliveries must be recorded durably as security-audit evidence, consistent with the EVENT_REJECTED audit event (Section 17) and the Rejected and recorded failure-test expectation (Section 19). Structured application logging is not a substitute for a durable audit record. This requirement is planned as Task 011A and is not implemented by Task 010A.</w:t>
      </w:r>
    </w:p>
    <w:p>
      <w:pPr>
        <w:pStyle w:val="ListBullet"/>
        <w:spacing w:after="40"/>
      </w:pPr>
      <w:r>
        <w:t>Rate limiting on the webhook endpoint is specified in Section 10 ("Webhook rate limiting (Task 011B)") and by D-018 to D-020. Rejections converted to HTTP 429 because a peer's rejection allowance is exhausted, and all other rate-limited requests, are evidenced through aggregate summaries rather than individual rejection records. Task 011A must record those summaries durably and must record evidence gaps without inventing counts.</w:t>
      </w:r>
    </w:p>
    <w:p>
      <w:pPr>
        <w:pStyle w:val="ListBullet"/>
        <w:spacing w:after="40"/>
      </w:pPr>
      <w:r>
        <w:t>Task 011A implements durable rejection recording and rate-limit evidence persistence as specified in Section 17 ("Webhook rejection and rate-limit evidence (Task 011A)") and D-021 to D-023.</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 Raw client network addresses must not be logged by default; source-address logging at a trusted network edge requires a separate decision (D-020).</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webhook endpoints (Task 011B; Section 10) and on operator endpoints (deferred until those endpoints exist).</w:t>
      </w:r>
    </w:p>
    <w:p>
      <w:pPr>
        <w:pStyle w:val="ListBullet"/>
        <w:spacing w:after="40"/>
      </w:pPr>
      <w:r>
        <w:t>Connection-level protection, trusted-proxy client-address derivation (including reassessment of the shared Layer 2 rejection allowance), and handling of Node.js-level malformed-HTTP, framing and timeout responses, which are outside all application-level rate-limit guarantees and counters, before any public exposure (O-011).</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Webhook request flood</w:t>
            </w:r>
          </w:p>
        </w:tc>
        <w:tc>
          <w:tcPr>
            <w:tcW w:type="dxa" w:w="5040"/>
            <w:vAlign w:val="center"/>
          </w:tcPr>
          <w:p>
            <w:pPr>
              <w:spacing w:after="0"/>
            </w:pPr>
            <w:r/>
            <w:r>
              <w:rPr>
                <w:rFonts w:ascii="Aptos" w:hAnsi="Aptos"/>
                <w:b w:val="0"/>
                <w:sz w:val="16"/>
              </w:rPr>
              <w:t>Generic 429 with Retry-After before body processing; aggregate rate-limit evidence recorded</w:t>
            </w:r>
          </w:p>
        </w:tc>
      </w:tr>
      <w:tr>
        <w:trPr>
          <w:trHeight w:hRule="atLeast"/>
        </w:trPr>
        <w:tc>
          <w:tcPr>
            <w:tcW w:type="dxa" w:w="5040"/>
            <w:vAlign w:val="center"/>
          </w:tcPr>
          <w:p>
            <w:pPr>
              <w:spacing w:after="0"/>
            </w:pPr>
            <w:r/>
            <w:r>
              <w:rPr>
                <w:rFonts w:ascii="Aptos" w:hAnsi="Aptos"/>
                <w:b w:val="0"/>
                <w:sz w:val="16"/>
              </w:rPr>
              <w:t>Audit store unavailable</w:t>
            </w:r>
          </w:p>
        </w:tc>
        <w:tc>
          <w:tcPr>
            <w:tcW w:type="dxa" w:w="5040"/>
            <w:vAlign w:val="center"/>
          </w:tcPr>
          <w:p>
            <w:pPr>
              <w:spacing w:after="0"/>
            </w:pPr>
            <w:r/>
            <w:r>
              <w:rPr>
                <w:rFonts w:ascii="Aptos" w:hAnsi="Aptos"/>
                <w:b w:val="0"/>
                <w:sz w:val="16"/>
              </w:rPr>
              <w:t>Webhook responses and rate-limit decisions unchanged; unrecorded rejections counted in aggregate evidence once a summary is persisted; API does not start if startup evidence cannot be recorded</w:t>
            </w:r>
          </w:p>
        </w:tc>
      </w:tr>
      <w:tr>
        <w:trPr>
          <w:trHeight w:hRule="atLeast"/>
        </w:trPr>
        <w:tc>
          <w:tcPr>
            <w:tcW w:type="dxa" w:w="5040"/>
            <w:vAlign w:val="center"/>
          </w:tcPr>
          <w:p>
            <w:pPr>
              <w:spacing w:after="0"/>
            </w:pPr>
            <w:r/>
            <w:r>
              <w:rPr>
                <w:rFonts w:ascii="Aptos" w:hAnsi="Aptos"/>
                <w:b w:val="0"/>
                <w:sz w:val="16"/>
              </w:rPr>
              <w:t>Unclean process termination</w:t>
            </w:r>
          </w:p>
        </w:tc>
        <w:tc>
          <w:tcPr>
            <w:tcW w:type="dxa" w:w="5040"/>
            <w:vAlign w:val="center"/>
          </w:tcPr>
          <w:p>
            <w:pPr>
              <w:spacing w:after="0"/>
            </w:pPr>
            <w:r/>
            <w:r>
              <w:rPr>
                <w:rFonts w:ascii="Aptos" w:hAnsi="Aptos"/>
                <w:b w:val="0"/>
                <w:sz w:val="16"/>
              </w:rPr>
              <w:t>Evidence gap recorded on the next start; activity after the last durable summary reported as unknown</w:t>
            </w:r>
          </w:p>
        </w:tc>
      </w:tr>
      <w:tr>
        <w:trPr>
          <w:trHeight w:hRule="atLeast"/>
        </w:trPr>
        <w:tc>
          <w:tcPr>
            <w:tcW w:type="dxa" w:w="5040"/>
            <w:vAlign w:val="center"/>
          </w:tcPr>
          <w:p>
            <w:pPr>
              <w:spacing w:after="0"/>
            </w:pPr>
            <w:r/>
            <w:r>
              <w:rPr>
                <w:rFonts w:ascii="Aptos" w:hAnsi="Aptos"/>
                <w:b w:val="0"/>
                <w:sz w:val="16"/>
              </w:rPr>
              <w:t>Concurrent duplicate webhooks</w:t>
            </w:r>
          </w:p>
        </w:tc>
        <w:tc>
          <w:tcPr>
            <w:tcW w:type="dxa" w:w="5040"/>
            <w:vAlign w:val="center"/>
          </w:tcPr>
          <w:p>
            <w:pPr>
              <w:spacing w:after="0"/>
            </w:pPr>
            <w:r/>
            <w:r>
              <w:rPr>
                <w:rFonts w:ascii="Aptos" w:hAnsi="Aptos"/>
                <w:b w:val="0"/>
                <w:sz w:val="16"/>
              </w:rPr>
              <w:t>Exactly one event; every delivery acknowledged and recorded</w:t>
            </w:r>
          </w:p>
        </w:tc>
      </w:tr>
      <w:tr>
        <w:trPr>
          <w:trHeight w:hRule="atLeast"/>
        </w:trPr>
        <w:tc>
          <w:tcPr>
            <w:tcW w:type="dxa" w:w="5040"/>
            <w:vAlign w:val="center"/>
          </w:tcPr>
          <w:p>
            <w:pPr>
              <w:spacing w:after="0"/>
            </w:pPr>
            <w:r/>
            <w:r>
              <w:rPr>
                <w:rFonts w:ascii="Aptos" w:hAnsi="Aptos"/>
                <w:b w:val="0"/>
                <w:sz w:val="16"/>
              </w:rPr>
              <w:t>Database unavailable during ingestion</w:t>
            </w:r>
          </w:p>
        </w:tc>
        <w:tc>
          <w:tcPr>
            <w:tcW w:type="dxa" w:w="5040"/>
            <w:vAlign w:val="center"/>
          </w:tcPr>
          <w:p>
            <w:pPr>
              <w:spacing w:after="0"/>
            </w:pPr>
            <w:r/>
            <w:r>
              <w:rPr>
                <w:rFonts w:ascii="Aptos" w:hAnsi="Aptos"/>
                <w:b w:val="0"/>
                <w:sz w:val="16"/>
              </w:rPr>
              <w:t>HTTP 503, no acknowledgement; retried delivery accepted once the database recovers</w:t>
            </w:r>
          </w:p>
        </w:tc>
      </w:tr>
      <w:tr>
        <w:trPr>
          <w:trHeight w:hRule="atLeast"/>
        </w:trPr>
        <w:tc>
          <w:tcPr>
            <w:tcW w:type="dxa" w:w="5040"/>
            <w:vAlign w:val="center"/>
          </w:tcPr>
          <w:p>
            <w:pPr>
              <w:spacing w:after="0"/>
            </w:pPr>
            <w:r/>
            <w:r>
              <w:rPr>
                <w:rFonts w:ascii="Aptos" w:hAnsi="Aptos"/>
                <w:b w:val="0"/>
                <w:sz w:val="16"/>
              </w:rPr>
              <w:t>Ingestion exceeds the response deadline</w:t>
            </w:r>
          </w:p>
        </w:tc>
        <w:tc>
          <w:tcPr>
            <w:tcW w:type="dxa" w:w="5040"/>
            <w:vAlign w:val="center"/>
          </w:tcPr>
          <w:p>
            <w:pPr>
              <w:spacing w:after="0"/>
            </w:pPr>
            <w:r/>
            <w:r>
              <w:rPr>
                <w:rFonts w:ascii="Aptos" w:hAnsi="Aptos"/>
                <w:b w:val="0"/>
                <w:sz w:val="16"/>
              </w:rPr>
              <w:t>Exactly one HTTP 503; a later commit sends no second response; retried delivery resolved as a duplicate</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 security-audit recording, rate limiting.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pPr>
        <w:pStyle w:val="Heading2"/>
      </w:pPr>
      <w:r>
        <w:t>Phase 3 acceptance criteria</w:t>
      </w:r>
    </w:p>
    <w:p>
      <w:r>
        <w:t>Phase 3 — Webhook ingestion cannot be declared complete until all of the following are implemented and verified:</w:t>
      </w:r>
    </w:p>
    <w:p>
      <w:pPr>
        <w:pStyle w:val="ListBullet"/>
        <w:spacing w:after="40"/>
      </w:pPr>
      <w:r>
        <w:t>Durable event ingestion and duplicate handling (Task 011).</w:t>
      </w:r>
    </w:p>
    <w:p>
      <w:pPr>
        <w:pStyle w:val="ListBullet"/>
        <w:spacing w:after="40"/>
      </w:pPr>
      <w:r>
        <w:t>Durable recording of rejected webhooks as security-audit evidence (Task 011A).</w:t>
      </w:r>
    </w:p>
    <w:p>
      <w:pPr>
        <w:pStyle w:val="ListBullet"/>
        <w:spacing w:after="40"/>
      </w:pPr>
      <w:r>
        <w:t>Webhook endpoint rate limiting (Task 011B).</w:t>
      </w:r>
    </w:p>
    <w:p>
      <w:r>
        <w:t>Task 010A (transport boundary and fail-closed ingestion handoff) does not by itself satisfy any of these criteria.</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Heading2"/>
      </w:pPr>
      <w:r>
        <w:t>Claude — implementation assistant</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Heading2"/>
      </w:pPr>
      <w:r>
        <w:t>Gemini — independent challenger</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implementation</w:t>
        <w:br/>
        <w:t xml:space="preserve">   ↓</w:t>
        <w:br/>
        <w:t>Human inspection</w:t>
        <w:br/>
        <w:t xml:space="preserve">   ↓</w:t>
        <w:br/>
        <w:t>ChatGPT review</w:t>
        <w:br/>
        <w:t xml:space="preserve">   ↓</w:t>
        <w:br/>
        <w:t>Gemini challenge</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010A</w:t>
            </w:r>
          </w:p>
        </w:tc>
        <w:tc>
          <w:tcPr>
            <w:tcW w:type="dxa" w:w="2520"/>
            <w:vAlign w:val="center"/>
          </w:tcPr>
          <w:p>
            <w:pPr>
              <w:spacing w:after="0"/>
            </w:pPr>
            <w:r/>
            <w:r>
              <w:rPr>
                <w:rFonts w:ascii="Aptos" w:hAnsi="Aptos"/>
                <w:b w:val="0"/>
                <w:sz w:val="16"/>
              </w:rPr>
              <w:t>API foundation &amp; webhook transport boundary</w:t>
            </w:r>
          </w:p>
        </w:tc>
        <w:tc>
          <w:tcPr>
            <w:tcW w:type="dxa" w:w="2520"/>
            <w:vAlign w:val="center"/>
          </w:tcPr>
          <w:p>
            <w:pPr>
              <w:spacing w:after="0"/>
            </w:pPr>
            <w:r/>
            <w:r>
              <w:rPr>
                <w:rFonts w:ascii="Aptos" w:hAnsi="Aptos"/>
                <w:b w:val="0"/>
                <w:sz w:val="16"/>
              </w:rPr>
              <w:t>Fastify API foundation and POST /api/webhooks/:integrationKey: bounded raw-body handling, secrets from IRS_WEBHOOK_SECRETS keyed by Integration.id, Task 010 verification, and an injectable ingestion handoff that fails closed with HTTP 503 until Task 011 provides durable acceptance</w:t>
            </w:r>
          </w:p>
        </w:tc>
        <w:tc>
          <w:tcPr>
            <w:tcW w:type="dxa" w:w="2520"/>
            <w:vAlign w:val="center"/>
          </w:tcPr>
          <w:p>
            <w:pPr>
              <w:spacing w:after="0"/>
            </w:pPr>
            <w:r/>
            <w:r>
              <w:rPr>
                <w:rFonts w:ascii="Aptos" w:hAnsi="Aptos"/>
                <w:b w:val="0"/>
                <w:sz w:val="16"/>
              </w:rPr>
              <w:t>001,003,009,010</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006,010A</w:t>
            </w:r>
          </w:p>
        </w:tc>
      </w:tr>
      <w:tr>
        <w:trPr>
          <w:trHeight w:hRule="atLeast"/>
        </w:trPr>
        <w:tc>
          <w:tcPr>
            <w:tcW w:type="dxa" w:w="2520"/>
            <w:vAlign w:val="center"/>
          </w:tcPr>
          <w:p>
            <w:pPr>
              <w:spacing w:after="0"/>
            </w:pPr>
            <w:r/>
            <w:r>
              <w:rPr>
                <w:rFonts w:ascii="Aptos" w:hAnsi="Aptos"/>
                <w:b w:val="0"/>
                <w:sz w:val="16"/>
              </w:rPr>
              <w:t>011A</w:t>
            </w:r>
          </w:p>
        </w:tc>
        <w:tc>
          <w:tcPr>
            <w:tcW w:type="dxa" w:w="2520"/>
            <w:vAlign w:val="center"/>
          </w:tcPr>
          <w:p>
            <w:pPr>
              <w:spacing w:after="0"/>
            </w:pPr>
            <w:r/>
            <w:r>
              <w:rPr>
                <w:rFonts w:ascii="Aptos" w:hAnsi="Aptos"/>
                <w:b w:val="0"/>
                <w:sz w:val="16"/>
              </w:rPr>
              <w:t>Webhook security audit recording</w:t>
            </w:r>
          </w:p>
        </w:tc>
        <w:tc>
          <w:tcPr>
            <w:tcW w:type="dxa" w:w="2520"/>
            <w:vAlign w:val="center"/>
          </w:tcPr>
          <w:p>
            <w:pPr>
              <w:spacing w:after="0"/>
            </w:pPr>
            <w:r/>
            <w:r>
              <w:rPr>
                <w:rFonts w:ascii="Aptos" w:hAnsi="Aptos"/>
                <w:b w:val="0"/>
                <w:sz w:val="16"/>
              </w:rPr>
              <w:t>Durable recording of rejected webhooks per the specification's security and audit requirements</w:t>
            </w:r>
          </w:p>
        </w:tc>
        <w:tc>
          <w:tcPr>
            <w:tcW w:type="dxa" w:w="2520"/>
            <w:vAlign w:val="center"/>
          </w:tcPr>
          <w:p>
            <w:pPr>
              <w:spacing w:after="0"/>
            </w:pPr>
            <w:r/>
            <w:r>
              <w:rPr>
                <w:rFonts w:ascii="Aptos" w:hAnsi="Aptos"/>
                <w:b w:val="0"/>
                <w:sz w:val="16"/>
              </w:rPr>
              <w:t>010A,011</w:t>
            </w:r>
          </w:p>
        </w:tc>
      </w:tr>
      <w:tr>
        <w:trPr>
          <w:trHeight w:hRule="atLeast"/>
        </w:trPr>
        <w:tc>
          <w:tcPr>
            <w:tcW w:type="dxa" w:w="2520"/>
            <w:vAlign w:val="center"/>
          </w:tcPr>
          <w:p>
            <w:pPr>
              <w:spacing w:after="0"/>
            </w:pPr>
            <w:r/>
            <w:r>
              <w:rPr>
                <w:rFonts w:ascii="Aptos" w:hAnsi="Aptos"/>
                <w:b w:val="0"/>
                <w:sz w:val="16"/>
              </w:rPr>
              <w:t>011B</w:t>
            </w:r>
          </w:p>
        </w:tc>
        <w:tc>
          <w:tcPr>
            <w:tcW w:type="dxa" w:w="2520"/>
            <w:vAlign w:val="center"/>
          </w:tcPr>
          <w:p>
            <w:pPr>
              <w:spacing w:after="0"/>
            </w:pPr>
            <w:r/>
            <w:r>
              <w:rPr>
                <w:rFonts w:ascii="Aptos" w:hAnsi="Aptos"/>
                <w:b w:val="0"/>
                <w:sz w:val="16"/>
              </w:rPr>
              <w:t>Webhook endpoint rate limiting</w:t>
            </w:r>
          </w:p>
        </w:tc>
        <w:tc>
          <w:tcPr>
            <w:tcW w:type="dxa" w:w="2520"/>
            <w:vAlign w:val="center"/>
          </w:tcPr>
          <w:p>
            <w:pPr>
              <w:spacing w:after="0"/>
            </w:pPr>
            <w:r/>
            <w:r>
              <w:rPr>
                <w:rFonts w:ascii="Aptos" w:hAnsi="Aptos"/>
                <w:b w:val="0"/>
                <w:sz w:val="16"/>
              </w:rPr>
              <w:t>Bound the volume of requests reaching the webhook endpoint</w:t>
            </w:r>
          </w:p>
        </w:tc>
        <w:tc>
          <w:tcPr>
            <w:tcW w:type="dxa" w:w="2520"/>
            <w:vAlign w:val="center"/>
          </w:tcPr>
          <w:p>
            <w:pPr>
              <w:spacing w:after="0"/>
            </w:pPr>
            <w:r/>
            <w:r>
              <w:rPr>
                <w:rFonts w:ascii="Aptos" w:hAnsi="Aptos"/>
                <w:b w:val="0"/>
                <w:sz w:val="16"/>
              </w:rPr>
              <w:t>010A</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t>Task 010A delivers only the transport boundary and a fail-closed ingestion handoff; durable rejection recording (Task 011A) and rate limiting (Task 011B) are separate tasks outside its scope. The Task 011A audit contract must be designed and approved before Task 011 is approved for implementation, and the Task 011B design must be approved before the Task 011A design is approved.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r>
        <w:trPr>
          <w:trHeight w:hRule="atLeast"/>
        </w:trPr>
        <w:tc>
          <w:tcPr>
            <w:tcW w:type="dxa" w:w="2520"/>
            <w:vAlign w:val="center"/>
          </w:tcPr>
          <w:p>
            <w:pPr>
              <w:spacing w:after="0"/>
            </w:pPr>
            <w:r/>
            <w:r>
              <w:rPr>
                <w:rFonts w:ascii="Aptos" w:hAnsi="Aptos"/>
                <w:b w:val="0"/>
                <w:sz w:val="16"/>
              </w:rPr>
              <w:t>D-015</w:t>
            </w:r>
          </w:p>
        </w:tc>
        <w:tc>
          <w:tcPr>
            <w:tcW w:type="dxa" w:w="2520"/>
            <w:vAlign w:val="center"/>
          </w:tcPr>
          <w:p>
            <w:pPr>
              <w:spacing w:after="0"/>
            </w:pPr>
            <w:r/>
            <w:r>
              <w:rPr>
                <w:rFonts w:ascii="Aptos" w:hAnsi="Aptos"/>
                <w:b w:val="0"/>
                <w:sz w:val="16"/>
              </w:rPr>
              <w:t>HTTP API framework for apps/api = Fastify 5.12.5</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Resolves O-001; first used by Task 010A</w:t>
            </w:r>
          </w:p>
        </w:tc>
      </w:tr>
      <w:tr>
        <w:trPr>
          <w:trHeight w:hRule="atLeast"/>
        </w:trPr>
        <w:tc>
          <w:tcPr>
            <w:tcW w:type="dxa" w:w="2520"/>
            <w:vAlign w:val="center"/>
          </w:tcPr>
          <w:p>
            <w:pPr>
              <w:spacing w:after="0"/>
            </w:pPr>
            <w:r/>
            <w:r>
              <w:rPr>
                <w:rFonts w:ascii="Aptos" w:hAnsi="Aptos"/>
                <w:b w:val="0"/>
                <w:sz w:val="16"/>
              </w:rPr>
              <w:t>D-016</w:t>
            </w:r>
          </w:p>
        </w:tc>
        <w:tc>
          <w:tcPr>
            <w:tcW w:type="dxa" w:w="2520"/>
            <w:vAlign w:val="center"/>
          </w:tcPr>
          <w:p>
            <w:pPr>
              <w:spacing w:after="0"/>
            </w:pPr>
            <w:r/>
            <w:r>
              <w:rPr>
                <w:rFonts w:ascii="Aptos" w:hAnsi="Aptos"/>
                <w:b w:val="0"/>
                <w:sz w:val="16"/>
              </w:rPr>
              <w:t>Webhook route key :integrationKey is the Integration.id; canonical lowercase UUIDs of any version are accepted; no new key or slug column is introduced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010A; an identifier without a configured secret fails closed</w:t>
            </w:r>
          </w:p>
        </w:tc>
      </w:tr>
      <w:tr>
        <w:trPr>
          <w:trHeight w:hRule="atLeast"/>
        </w:trPr>
        <w:tc>
          <w:tcPr>
            <w:tcW w:type="dxa" w:w="2520"/>
            <w:vAlign w:val="center"/>
          </w:tcPr>
          <w:p>
            <w:pPr>
              <w:spacing w:after="0"/>
            </w:pPr>
            <w:r/>
            <w:r>
              <w:rPr>
                <w:rFonts w:ascii="Aptos" w:hAnsi="Aptos"/>
                <w:b w:val="0"/>
                <w:sz w:val="16"/>
              </w:rPr>
              <w:t>D-017</w:t>
            </w:r>
          </w:p>
        </w:tc>
        <w:tc>
          <w:tcPr>
            <w:tcW w:type="dxa" w:w="2520"/>
            <w:vAlign w:val="center"/>
          </w:tcPr>
          <w:p>
            <w:pPr>
              <w:spacing w:after="0"/>
            </w:pPr>
            <w:r/>
            <w:r>
              <w:rPr>
                <w:rFonts w:ascii="Aptos" w:hAnsi="Aptos"/>
                <w:b w:val="0"/>
                <w:sz w:val="16"/>
              </w:rPr>
              <w:t>Initial webhook secrets are environment-backed (IRS_WEBHOOK_SECRETS: comma-separated integration-uuid=hex-secret entries; lowercase hex, at least 32 bytes), keyed by Integration.id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Local development, demonstrations and mock providers only; secret store and rotation remain open (Section 18)</w:t>
            </w:r>
          </w:p>
        </w:tc>
      </w:tr>
      <w:tr>
        <w:trPr>
          <w:trHeight w:hRule="atLeast"/>
        </w:trPr>
        <w:tc>
          <w:tcPr>
            <w:tcW w:type="dxa" w:w="2520"/>
            <w:vAlign w:val="center"/>
          </w:tcPr>
          <w:p>
            <w:pPr>
              <w:spacing w:after="0"/>
            </w:pPr>
            <w:r/>
            <w:r>
              <w:rPr>
                <w:rFonts w:ascii="Aptos" w:hAnsi="Aptos"/>
                <w:b w:val="0"/>
                <w:sz w:val="16"/>
              </w:rPr>
              <w:t>D-018</w:t>
            </w:r>
          </w:p>
        </w:tc>
        <w:tc>
          <w:tcPr>
            <w:tcW w:type="dxa" w:w="2520"/>
            <w:vAlign w:val="center"/>
          </w:tcPr>
          <w:p>
            <w:pPr>
              <w:spacing w:after="0"/>
            </w:pPr>
            <w:r/>
            <w:r>
              <w:rPr>
                <w:rFonts w:ascii="Aptos" w:hAnsi="Aptos"/>
                <w:b w:val="0"/>
                <w:sz w:val="16"/>
              </w:rPr>
              <w:t>Webhook rate limiting (Task 011B) uses a custom in-process token-bucket limiter in apps/api with three layers: L1 per-peer requests; L2 per-peer individual-rejection allowance, consumed synchronously before a rejection is sent, otherwise converted to 429, and denying all requests from a peer whose allowance is exhausted before verification; L3 per-Integration.id deliveries accepted by the Task 010 verifier, before the ingestion handoff. Every table has a fixed key capacity with a shared overflow bucket. No new dependency, no Redis, no trusted forwarding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Limits provisional; L3 limits, capacity and overflow re-evaluated after Task 011 measurements; all limits and the shared-address Layer 2 risk re-evaluated before public exposure (O-011)</w:t>
            </w:r>
          </w:p>
        </w:tc>
      </w:tr>
      <w:tr>
        <w:trPr>
          <w:trHeight w:hRule="atLeast"/>
        </w:trPr>
        <w:tc>
          <w:tcPr>
            <w:tcW w:type="dxa" w:w="2520"/>
            <w:vAlign w:val="center"/>
          </w:tcPr>
          <w:p>
            <w:pPr>
              <w:spacing w:after="0"/>
            </w:pPr>
            <w:r/>
            <w:r>
              <w:rPr>
                <w:rFonts w:ascii="Aptos" w:hAnsi="Aptos"/>
                <w:b w:val="0"/>
                <w:sz w:val="16"/>
              </w:rPr>
              <w:t>D-019</w:t>
            </w:r>
          </w:p>
        </w:tc>
        <w:tc>
          <w:tcPr>
            <w:tcW w:type="dxa" w:w="2520"/>
            <w:vAlign w:val="center"/>
          </w:tcPr>
          <w:p>
            <w:pPr>
              <w:spacing w:after="0"/>
            </w:pPr>
            <w:r/>
            <w:r>
              <w:rPr>
                <w:rFonts w:ascii="Aptos" w:hAnsi="Aptos"/>
                <w:b w:val="0"/>
                <w:sz w:val="16"/>
              </w:rPr>
              <w:t>The fixed API error-code set adds TOO_MANY_REQUESTS (HTTP 429): generic flat body with server request ID, Retry-After, Connection: close, no rate-limit quota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011B</w:t>
            </w:r>
          </w:p>
        </w:tc>
      </w:tr>
      <w:tr>
        <w:trPr>
          <w:trHeight w:hRule="atLeast"/>
        </w:trPr>
        <w:tc>
          <w:tcPr>
            <w:tcW w:type="dxa" w:w="2520"/>
            <w:vAlign w:val="center"/>
          </w:tcPr>
          <w:p>
            <w:pPr>
              <w:spacing w:after="0"/>
            </w:pPr>
            <w:r/>
            <w:r>
              <w:rPr>
                <w:rFonts w:ascii="Aptos" w:hAnsi="Aptos"/>
                <w:b w:val="0"/>
                <w:sz w:val="16"/>
              </w:rPr>
              <w:t>D-020</w:t>
            </w:r>
          </w:p>
        </w:tc>
        <w:tc>
          <w:tcPr>
            <w:tcW w:type="dxa" w:w="2520"/>
            <w:vAlign w:val="center"/>
          </w:tcPr>
          <w:p>
            <w:pPr>
              <w:spacing w:after="0"/>
            </w:pPr>
            <w:r/>
            <w:r>
              <w:rPr>
                <w:rFonts w:ascii="Aptos" w:hAnsi="Aptos"/>
                <w:b w:val="0"/>
                <w:sz w:val="16"/>
              </w:rPr>
              <w:t>Client network addresses are not logged by default; rate-limit log events carry a process-scoped keyed fingerprint of the normalized peer key</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Edge source-address logging requires a separate decision</w:t>
            </w:r>
          </w:p>
        </w:tc>
      </w:tr>
      <w:tr>
        <w:trPr>
          <w:trHeight w:hRule="atLeast"/>
        </w:trPr>
        <w:tc>
          <w:tcPr>
            <w:tcW w:type="dxa" w:w="2520"/>
            <w:vAlign w:val="center"/>
          </w:tcPr>
          <w:p>
            <w:pPr>
              <w:spacing w:after="0"/>
            </w:pPr>
            <w:r/>
            <w:r>
              <w:rPr>
                <w:rFonts w:ascii="Aptos" w:hAnsi="Aptos"/>
                <w:b w:val="0"/>
                <w:sz w:val="16"/>
              </w:rPr>
              <w:t>D-021</w:t>
            </w:r>
          </w:p>
        </w:tc>
        <w:tc>
          <w:tcPr>
            <w:tcW w:type="dxa" w:w="2520"/>
            <w:vAlign w:val="center"/>
          </w:tcPr>
          <w:p>
            <w:pPr>
              <w:spacing w:after="0"/>
            </w:pPr>
            <w:r/>
            <w:r>
              <w:rPr>
                <w:rFonts w:ascii="Aptos" w:hAnsi="Aptos"/>
                <w:b w:val="0"/>
                <w:sz w:val="16"/>
              </w:rPr>
              <w:t>Rate-limit and rejection-audit aggregate evidence, evidence gaps and limiter-instance lifecycle records are stored in a dedicated RateLimitEvidence entity with enforced natural keys, complete-record idempotency comparison and overlap rejection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implemented after Task 011 establishes the database runtime</w:t>
            </w:r>
          </w:p>
        </w:tc>
      </w:tr>
      <w:tr>
        <w:trPr>
          <w:trHeight w:hRule="atLeast"/>
        </w:trPr>
        <w:tc>
          <w:tcPr>
            <w:tcW w:type="dxa" w:w="2520"/>
            <w:vAlign w:val="center"/>
          </w:tcPr>
          <w:p>
            <w:pPr>
              <w:spacing w:after="0"/>
            </w:pPr>
            <w:r/>
            <w:r>
              <w:rPr>
                <w:rFonts w:ascii="Aptos" w:hAnsi="Aptos"/>
                <w:b w:val="0"/>
                <w:sz w:val="16"/>
              </w:rPr>
              <w:t>D-022</w:t>
            </w:r>
          </w:p>
        </w:tc>
        <w:tc>
          <w:tcPr>
            <w:tcW w:type="dxa" w:w="2520"/>
            <w:vAlign w:val="center"/>
          </w:tcPr>
          <w:p>
            <w:pPr>
              <w:spacing w:after="0"/>
            </w:pPr>
            <w:r/>
            <w:r>
              <w:rPr>
                <w:rFonts w:ascii="Aptos" w:hAnsi="Aptos"/>
                <w:b w:val="0"/>
                <w:sz w:val="16"/>
              </w:rPr>
              <w:t>Rejected webhook deliveries are recorded as AuditEntry rows (action EVENT_REJECTED, id = server-generated request ID) with an allowlisted field set and an observed response-completion state, behind a global write ceiling and bounded queue, submitted after the response finish or a preceding close is observed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limits provisional</w:t>
            </w:r>
          </w:p>
        </w:tc>
      </w:tr>
      <w:tr>
        <w:trPr>
          <w:trHeight w:hRule="atLeast"/>
        </w:trPr>
        <w:tc>
          <w:tcPr>
            <w:tcW w:type="dxa" w:w="2520"/>
            <w:vAlign w:val="center"/>
          </w:tcPr>
          <w:p>
            <w:pPr>
              <w:spacing w:after="0"/>
            </w:pPr>
            <w:r/>
            <w:r>
              <w:rPr>
                <w:rFonts w:ascii="Aptos" w:hAnsi="Aptos"/>
                <w:b w:val="0"/>
                <w:sz w:val="16"/>
              </w:rPr>
              <w:t>D-023</w:t>
            </w:r>
          </w:p>
        </w:tc>
        <w:tc>
          <w:tcPr>
            <w:tcW w:type="dxa" w:w="2520"/>
            <w:vAlign w:val="center"/>
          </w:tcPr>
          <w:p>
            <w:pPr>
              <w:spacing w:after="0"/>
            </w:pPr>
            <w:r/>
            <w:r>
              <w:rPr>
                <w:rFonts w:ascii="Aptos" w:hAnsi="Aptos"/>
                <w:b w:val="0"/>
                <w:sz w:val="16"/>
              </w:rPr>
              <w:t>Evidence completeness is reported explicitly: confirmed activity, confirmed zero activity, known gaps and unknown activity (including after an unclean termination or a forced shutdown) are distinguished, and uncaptured counts are never estimated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w:t>
            </w:r>
          </w:p>
        </w:tc>
      </w:tr>
      <w:tr>
        <w:trPr>
          <w:trHeight w:hRule="atLeast"/>
        </w:trPr>
        <w:tc>
          <w:tcPr>
            <w:tcW w:type="dxa" w:w="2520"/>
            <w:vAlign w:val="center"/>
          </w:tcPr>
          <w:p>
            <w:pPr>
              <w:spacing w:after="0"/>
            </w:pPr>
            <w:r/>
            <w:r>
              <w:rPr>
                <w:rFonts w:ascii="Aptos" w:hAnsi="Aptos"/>
                <w:b w:val="0"/>
                <w:sz w:val="16"/>
              </w:rPr>
              <w:t>D-024</w:t>
            </w:r>
          </w:p>
        </w:tc>
        <w:tc>
          <w:tcPr>
            <w:tcW w:type="dxa" w:w="2520"/>
            <w:vAlign w:val="center"/>
          </w:tcPr>
          <w:p>
            <w:pPr>
              <w:spacing w:after="0"/>
            </w:pPr>
            <w:r/>
            <w:r>
              <w:rPr>
                <w:rFonts w:ascii="Aptos" w:hAnsi="Aptos"/>
                <w:b w:val="0"/>
                <w:sz w:val="16"/>
              </w:rPr>
              <w:t>Durable ingestion (Task 011): one READ COMMITTED transaction per delivery; duplicates acknowledged with HTTP 202 and recorded as EVENT_RECEIVED; 202 only after commit acknowledgement</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w:t>
            </w:r>
          </w:p>
        </w:tc>
      </w:tr>
      <w:tr>
        <w:trPr>
          <w:trHeight w:hRule="atLeast"/>
        </w:trPr>
        <w:tc>
          <w:tcPr>
            <w:tcW w:type="dxa" w:w="2520"/>
            <w:vAlign w:val="center"/>
          </w:tcPr>
          <w:p>
            <w:pPr>
              <w:spacing w:after="0"/>
            </w:pPr>
            <w:r/>
            <w:r>
              <w:rPr>
                <w:rFonts w:ascii="Aptos" w:hAnsi="Aptos"/>
                <w:b w:val="0"/>
                <w:sz w:val="16"/>
              </w:rPr>
              <w:t>D-025</w:t>
            </w:r>
          </w:p>
        </w:tc>
        <w:tc>
          <w:tcPr>
            <w:tcW w:type="dxa" w:w="2520"/>
            <w:vAlign w:val="center"/>
          </w:tcPr>
          <w:p>
            <w:pPr>
              <w:spacing w:after="0"/>
            </w:pPr>
            <w:r/>
            <w:r>
              <w:rPr>
                <w:rFonts w:ascii="Aptos" w:hAnsi="Aptos"/>
                <w:b w:val="0"/>
                <w:sz w:val="16"/>
              </w:rPr>
              <w:t>Accepted events store the exact received bytes (bytea) and SHA-256 alongside the JSONB payload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retention O-009</w:t>
            </w:r>
          </w:p>
        </w:tc>
      </w:tr>
      <w:tr>
        <w:trPr>
          <w:trHeight w:hRule="atLeast"/>
        </w:trPr>
        <w:tc>
          <w:tcPr>
            <w:tcW w:type="dxa" w:w="2520"/>
            <w:vAlign w:val="center"/>
          </w:tcPr>
          <w:p>
            <w:pPr>
              <w:spacing w:after="0"/>
            </w:pPr>
            <w:r/>
            <w:r>
              <w:rPr>
                <w:rFonts w:ascii="Aptos" w:hAnsi="Aptos"/>
                <w:b w:val="0"/>
                <w:sz w:val="16"/>
              </w:rPr>
              <w:t>D-026</w:t>
            </w:r>
          </w:p>
        </w:tc>
        <w:tc>
          <w:tcPr>
            <w:tcW w:type="dxa" w:w="2520"/>
            <w:vAlign w:val="center"/>
          </w:tcPr>
          <w:p>
            <w:pPr>
              <w:spacing w:after="0"/>
            </w:pPr>
            <w:r/>
            <w:r>
              <w:rPr>
                <w:rFonts w:ascii="Aptos" w:hAnsi="Aptos"/>
                <w:b w:val="0"/>
                <w:sz w:val="16"/>
              </w:rPr>
              <w:t>@irs/db owns the Prisma 7.10 runtime client (adapter-pg), transactions, transaction-scoped advisory locks and bounded disconnect; apps/api owns composition and lifecycle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used by Task 011A</w:t>
            </w:r>
          </w:p>
        </w:tc>
      </w:tr>
      <w:tr>
        <w:trPr>
          <w:trHeight w:hRule="atLeast"/>
        </w:trPr>
        <w:tc>
          <w:tcPr>
            <w:tcW w:type="dxa" w:w="2520"/>
            <w:vAlign w:val="center"/>
          </w:tcPr>
          <w:p>
            <w:pPr>
              <w:spacing w:after="0"/>
            </w:pPr>
            <w:r/>
            <w:r>
              <w:rPr>
                <w:rFonts w:ascii="Aptos" w:hAnsi="Aptos"/>
                <w:b w:val="0"/>
                <w:sz w:val="16"/>
              </w:rPr>
              <w:t>D-027</w:t>
            </w:r>
          </w:p>
        </w:tc>
        <w:tc>
          <w:tcPr>
            <w:tcW w:type="dxa" w:w="2520"/>
            <w:vAlign w:val="center"/>
          </w:tcPr>
          <w:p>
            <w:pPr>
              <w:spacing w:after="0"/>
            </w:pPr>
            <w:r/>
            <w:r>
              <w:rPr>
                <w:rFonts w:ascii="Aptos" w:hAnsi="Aptos"/>
                <w:b w:val="0"/>
                <w:sz w:val="16"/>
              </w:rPr>
              <w:t>The fixed API error-code set adds UNPROCESSABLE_PAYLOAD (HTTP 422) for a verified webhook payload that deterministic pre-validation proves cannot be stored (U+0000; unpaired surrogate); never produced from database errors, timeouts or unconfirmed commits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Task 011A RejectionStage amendment; Task 011B code-set amendment</w:t>
            </w:r>
          </w:p>
        </w:tc>
      </w:tr>
      <w:tr>
        <w:trPr>
          <w:trHeight w:hRule="atLeast"/>
        </w:trPr>
        <w:tc>
          <w:tcPr>
            <w:tcW w:type="dxa" w:w="2520"/>
            <w:vAlign w:val="center"/>
          </w:tcPr>
          <w:p>
            <w:pPr>
              <w:spacing w:after="0"/>
            </w:pPr>
            <w:r/>
            <w:r>
              <w:rPr>
                <w:rFonts w:ascii="Aptos" w:hAnsi="Aptos"/>
                <w:b w:val="0"/>
                <w:sz w:val="16"/>
              </w:rPr>
              <w:t>D-028</w:t>
            </w:r>
          </w:p>
        </w:tc>
        <w:tc>
          <w:tcPr>
            <w:tcW w:type="dxa" w:w="2520"/>
            <w:vAlign w:val="center"/>
          </w:tcPr>
          <w:p>
            <w:pPr>
              <w:spacing w:after="0"/>
            </w:pPr>
            <w:r/>
            <w:r>
              <w:rPr>
                <w:rFonts w:ascii="Aptos" w:hAnsi="Aptos"/>
                <w:b w:val="0"/>
                <w:sz w:val="16"/>
              </w:rPr>
              <w:t>Only ACTIVE integrations are eligible for webhook ingestion; DRAFT, DISABLED, DECOMMISSIONED and unregistered integrations receive HTTP 404 after verification, Layer 3 admission and payload pre-validation; a P1/P2 payload receives 422 first; no event and no EVENT_RECEIVED is created; the status is checked under a row lock inside the ingestion transaction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Task 011A RejectionStage amendment</w:t>
            </w:r>
          </w:p>
        </w:tc>
      </w:tr>
      <w:tr>
        <w:trPr>
          <w:trHeight w:hRule="atLeast"/>
        </w:trPr>
        <w:tc>
          <w:tcPr>
            <w:tcW w:type="dxa" w:w="2520"/>
            <w:vAlign w:val="center"/>
          </w:tcPr>
          <w:p>
            <w:pPr>
              <w:spacing w:after="0"/>
            </w:pPr>
            <w:r/>
            <w:r>
              <w:rPr>
                <w:rFonts w:ascii="Aptos" w:hAnsi="Aptos"/>
                <w:b w:val="0"/>
                <w:sz w:val="16"/>
              </w:rPr>
              <w:t>D-029</w:t>
            </w:r>
          </w:p>
        </w:tc>
        <w:tc>
          <w:tcPr>
            <w:tcW w:type="dxa" w:w="2520"/>
            <w:vAlign w:val="center"/>
          </w:tcPr>
          <w:p>
            <w:pPr>
              <w:spacing w:after="0"/>
            </w:pPr>
            <w:r/>
            <w:r>
              <w:rPr>
                <w:rFonts w:ascii="Aptos" w:hAnsi="Aptos"/>
                <w:b w:val="0"/>
                <w:sz w:val="16"/>
              </w:rPr>
              <w:t>Durable ingestion (Task 011) bounds the response to each verified delivery admitted by Layer 3 with an application response deadline measured from routing, including body receipt: HTTP 503 SERVICE_UNAVAILABLE when no ingestion result is observed in time; a later result is logged once and never answered; the deadline cancels no database work</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DEV-2 (FD-12); budget provisional (15 s), reassess against sender timeouts before deployment</w:t>
            </w:r>
          </w:p>
        </w:tc>
      </w:tr>
    </w:tbl>
    <w:p>
      <w:pPr>
        <w:spacing w:after="40"/>
      </w:pPr>
    </w:p>
    <w:p>
      <w:r>
        <w:t>Unresolved reference: prisma/schema.prisma refers to decision D-014 (Operation event/endpoint integration consistency check). No D-014 entry exists in this register, and its content cannot presently be reconstructed from this specification or the available repository history; the ID is reserved and must not be reused or assigned by inference. Related discrepancy: Section 13 lists integrationId on Operation, but the current schema has no such column. No design is changed by this note; reconciliation is assigned to a future schema/domain task, to be identified when that task is scoped.</w:t>
      </w: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 — RESOLVED by D-015 (Fastify 5.12.5)</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r>
        <w:trPr>
          <w:trHeight w:hRule="atLeast"/>
        </w:trPr>
        <w:tc>
          <w:tcPr>
            <w:tcW w:type="dxa" w:w="3360"/>
            <w:vAlign w:val="center"/>
          </w:tcPr>
          <w:p>
            <w:pPr>
              <w:spacing w:after="0"/>
            </w:pPr>
            <w:r/>
            <w:r>
              <w:rPr>
                <w:rFonts w:ascii="Aptos" w:hAnsi="Aptos"/>
                <w:b w:val="0"/>
                <w:sz w:val="16"/>
              </w:rPr>
              <w:t>O-011</w:t>
            </w:r>
          </w:p>
        </w:tc>
        <w:tc>
          <w:tcPr>
            <w:tcW w:type="dxa" w:w="3360"/>
            <w:vAlign w:val="center"/>
          </w:tcPr>
          <w:p>
            <w:pPr>
              <w:spacing w:after="0"/>
            </w:pPr>
            <w:r/>
            <w:r>
              <w:rPr>
                <w:rFonts w:ascii="Aptos" w:hAnsi="Aptos"/>
                <w:b w:val="0"/>
                <w:sz w:val="16"/>
              </w:rPr>
              <w:t>Connection-level protection, trusted-proxy client-address derivation (including reassessment of the shared Layer 2 rejection allowance), and handling of Node.js-level malformed-HTTP, framing and timeout events, which are outside all application-level rate-limit guarantees and counters and use non-flat response bodies</w:t>
            </w:r>
          </w:p>
        </w:tc>
        <w:tc>
          <w:tcPr>
            <w:tcW w:type="dxa" w:w="3360"/>
            <w:vAlign w:val="center"/>
          </w:tcPr>
          <w:p>
            <w:pPr>
              <w:spacing w:after="0"/>
            </w:pPr>
            <w:r/>
            <w:r>
              <w:rPr>
                <w:rFonts w:ascii="Aptos" w:hAnsi="Aptos"/>
                <w:b w:val="0"/>
                <w:sz w:val="16"/>
              </w:rPr>
              <w:t>Deployment (with O-008); must be resolved before public exposure</w:t>
            </w:r>
          </w:p>
        </w:tc>
      </w:tr>
      <w:tr>
        <w:trPr>
          <w:trHeight w:hRule="atLeast"/>
        </w:trPr>
        <w:tc>
          <w:tcPr>
            <w:tcW w:type="dxa" w:w="3360"/>
            <w:vAlign w:val="center"/>
          </w:tcPr>
          <w:p>
            <w:pPr>
              <w:spacing w:after="0"/>
            </w:pPr>
            <w:r/>
            <w:r>
              <w:rPr>
                <w:rFonts w:ascii="Aptos" w:hAnsi="Aptos"/>
                <w:b w:val="0"/>
                <w:sz w:val="16"/>
              </w:rPr>
              <w:t>O-012</w:t>
            </w:r>
          </w:p>
        </w:tc>
        <w:tc>
          <w:tcPr>
            <w:tcW w:type="dxa" w:w="3360"/>
            <w:vAlign w:val="center"/>
          </w:tcPr>
          <w:p>
            <w:pPr>
              <w:spacing w:after="0"/>
            </w:pPr>
            <w:r/>
            <w:r>
              <w:rPr>
                <w:rFonts w:ascii="Aptos" w:hAnsi="Aptos"/>
                <w:b w:val="0"/>
                <w:sz w:val="16"/>
              </w:rPr>
              <w:t>Multi-instance evidence scoping: deployment-slot scoping versus a liveness lease for detecting abandoned limiter instances (V1 assumes one live API process per scope)</w:t>
            </w:r>
          </w:p>
        </w:tc>
        <w:tc>
          <w:tcPr>
            <w:tcW w:type="dxa" w:w="3360"/>
            <w:vAlign w:val="center"/>
          </w:tcPr>
          <w:p>
            <w:pPr>
              <w:spacing w:after="0"/>
            </w:pPr>
            <w:r/>
            <w:r>
              <w:rPr>
                <w:rFonts w:ascii="Aptos" w:hAnsi="Aptos"/>
                <w:b w:val="0"/>
                <w:sz w:val="16"/>
              </w:rPr>
              <w:t>Deployment (with O-008); before running more than one API process</w:t>
            </w:r>
          </w:p>
        </w:tc>
      </w:tr>
      <w:tr>
        <w:trPr>
          <w:trHeight w:hRule="atLeast"/>
        </w:trPr>
        <w:tc>
          <w:tcPr>
            <w:tcW w:type="dxa" w:w="3360"/>
            <w:vAlign w:val="center"/>
          </w:tcPr>
          <w:p>
            <w:pPr>
              <w:spacing w:after="0"/>
            </w:pPr>
            <w:r/>
            <w:r>
              <w:rPr>
                <w:rFonts w:ascii="Aptos" w:hAnsi="Aptos"/>
                <w:b w:val="0"/>
                <w:sz w:val="16"/>
              </w:rPr>
              <w:t>O-013</w:t>
            </w:r>
          </w:p>
        </w:tc>
        <w:tc>
          <w:tcPr>
            <w:tcW w:type="dxa" w:w="3360"/>
            <w:vAlign w:val="center"/>
          </w:tcPr>
          <w:p>
            <w:pPr>
              <w:spacing w:after="0"/>
            </w:pPr>
            <w:r/>
            <w:r>
              <w:rPr>
                <w:rFonts w:ascii="Aptos" w:hAnsi="Aptos"/>
                <w:b w:val="0"/>
                <w:sz w:val="16"/>
              </w:rPr>
              <w:t>Provisional Task 011 timing budgets (AR-3), including the 15 s webhook response deadline, the lifecycle budgets and the pool / transaction timeouts, against target senders' delivery timeouts and the deployment platform</w:t>
            </w:r>
          </w:p>
        </w:tc>
        <w:tc>
          <w:tcPr>
            <w:tcW w:type="dxa" w:w="3360"/>
            <w:vAlign w:val="center"/>
          </w:tcPr>
          <w:p>
            <w:pPr>
              <w:spacing w:after="0"/>
            </w:pPr>
            <w:r/>
            <w:r>
              <w:rPr>
                <w:rFonts w:ascii="Aptos" w:hAnsi="Aptos"/>
                <w:b w:val="0"/>
                <w:sz w:val="16"/>
              </w:rPr>
              <w:t>Deployment (with O-008); before public exposure</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