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 010 is incorporated into local main; Task 010A implementation is underway in its dedicated worktree and awaits final review and integration into main.</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Identify integration</w:t>
        <w:br/>
        <w:t xml:space="preserve">      ↓</w:t>
        <w:br/>
        <w:t>Verify signature</w:t>
        <w:br/>
        <w:t xml:space="preserve">      ↓</w:t>
        <w:br/>
        <w:t>Validate envelope</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bl>
    <w:p>
      <w:pPr>
        <w:spacing w:after="40"/>
      </w:pP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planned as Task 011A and is not implemented by Task 010A.</w:t>
      </w:r>
    </w:p>
    <w:p>
      <w:pPr>
        <w:pStyle w:val="ListBullet"/>
        <w:spacing w:after="40"/>
      </w:pPr>
      <w:r>
        <w:t>Rate limiting on the webhook endpoint remains an explicit requirement. It is planned as Task 011B and is not implemented by Task 010A.</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operator and webhook endpoints.</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