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wTeXKai" w:hAnsi="cwTeXKai" w:eastAsia="cwTeXKai"/>
          <w:b/>
          <w:sz w:val="44"/>
        </w:rPr>
        <w:t>預告登記 · 代書 · 借款 · 上市櫃</w:t>
      </w:r>
    </w:p>
    <w:p>
      <w:pPr>
        <w:jc w:val="center"/>
      </w:pPr>
      <w:r>
        <w:rPr>
          <w:rFonts w:ascii="cwTeXKai" w:hAnsi="cwTeXKai" w:eastAsia="cwTeXKai"/>
          <w:b/>
          <w:sz w:val="36"/>
        </w:rPr>
        <w:t>法律框架與實務觀察</w:t>
      </w:r>
    </w:p>
    <w:p/>
    <w:p>
      <w:pPr>
        <w:jc w:val="center"/>
      </w:pPr>
      <w:r>
        <w:rPr>
          <w:rFonts w:ascii="cwTeXKai" w:hAnsi="cwTeXKai" w:eastAsia="cwTeXKai"/>
          <w:b w:val="0"/>
          <w:color w:val="828282"/>
          <w:sz w:val="24"/>
        </w:rPr>
        <w:t>引用格式：G3 ^[來源簡稱]  ·  中性實務立場</w:t>
      </w:r>
    </w:p>
    <w:p/>
    <w:p>
      <w:pPr>
        <w:jc w:val="center"/>
      </w:pPr>
      <w:r>
        <w:rPr>
          <w:rFonts w:ascii="cwTeXKai" w:hAnsi="cwTeXKai" w:eastAsia="cwTeXKai"/>
          <w:b w:val="0"/>
          <w:color w:val="828282"/>
          <w:sz w:val="24"/>
        </w:rPr>
        <w:t>2026-07-07</w:t>
      </w:r>
    </w:p>
    <w:p>
      <w:pPr>
        <w:jc w:val="center"/>
      </w:pPr>
      <w:r>
        <w:rPr>
          <w:rFonts w:ascii="cwTeXKai" w:hAnsi="cwTeXKai" w:eastAsia="cwTeXKai"/>
          <w:b w:val="0"/>
          <w:color w:val="828282"/>
          <w:sz w:val="24"/>
        </w:rPr>
        <w:t>智研法律 AI 系統</w:t>
      </w:r>
    </w:p>
    <w:p/>
    <w:p>
      <w:pPr>
        <w:jc w:val="center"/>
      </w:pPr>
      <w:r>
        <w:rPr>
          <w:rFonts w:ascii="cwTeXKai" w:hAnsi="cwTeXKai" w:eastAsia="cwTeXKai"/>
          <w:b w:val="0"/>
          <w:color w:val="B42828"/>
          <w:sz w:val="22"/>
        </w:rPr>
        <w:t>本報告僅供參考，不構成法律意見</w:t>
      </w:r>
    </w:p>
    <w:p>
      <w:r>
        <w:br w:type="page"/>
      </w:r>
    </w:p>
    <w:p>
      <w:r>
        <w:rPr>
          <w:rFonts w:ascii="cwTeXKai" w:hAnsi="cwTeXKai" w:eastAsia="cwTeXKai"/>
          <w:b/>
          <w:sz w:val="32"/>
        </w:rPr>
        <w:t>壹、土地預告登記制度</w:t>
      </w:r>
    </w:p>
    <w:p>
      <w:r>
        <w:rPr>
          <w:rFonts w:ascii="cwTeXKai" w:hAnsi="cwTeXKai" w:eastAsia="cwTeXKai"/>
          <w:b/>
          <w:color w:val="142855"/>
          <w:sz w:val="28"/>
        </w:rPr>
        <w:t xml:space="preserve">一、法律框架  </w:t>
      </w:r>
      <w:r>
        <w:rPr>
          <w:rFonts w:ascii="cwTeXKai" w:hAnsi="cwTeXKai" w:eastAsia="cwTeXKai"/>
          <w:b w:val="0"/>
          <w:sz w:val="28"/>
        </w:rPr>
        <w:t>土地法第79條之1第1項規定三類可保全之請求權，須由請求權人檢附所有權人同意書辦理^[全國法規資料庫]。第2項明定：預告登記未塗銷前，有妨礙所登記請求權之處分無效。第3項例外：徵收、法院判決、強制執行不受限制^[全國法規資料庫]。</w:t>
      </w:r>
    </w:p>
    <w:p>
      <w:r>
        <w:rPr>
          <w:rFonts w:ascii="cwTeXKai" w:hAnsi="cwTeXKai" w:eastAsia="cwTeXKai"/>
          <w:b/>
          <w:color w:val="142855"/>
          <w:sz w:val="28"/>
        </w:rPr>
        <w:t xml:space="preserve">二、效力定性  </w:t>
      </w:r>
      <w:r>
        <w:rPr>
          <w:rFonts w:ascii="cwTeXKai" w:hAnsi="cwTeXKai" w:eastAsia="cwTeXKai"/>
          <w:b w:val="0"/>
          <w:sz w:val="28"/>
        </w:rPr>
        <w:t>學說上將預告登記定性為「債權物權化」之典型——本質為債權之請求權，經登記後取得一定對世效力^[學說見解：民法物權編通說]。此與民法第425條買賣不破租賃、第826條之1分管契約屬同一類型討論^[民法§425][民法§826-1]。</w:t>
      </w:r>
    </w:p>
    <w:p>
      <w:r>
        <w:rPr>
          <w:rFonts w:ascii="cwTeXKai" w:hAnsi="cwTeXKai" w:eastAsia="cwTeXKai"/>
          <w:b/>
          <w:color w:val="142855"/>
          <w:sz w:val="28"/>
        </w:rPr>
        <w:t xml:space="preserve">三、時效議題  </w:t>
      </w:r>
      <w:r>
        <w:rPr>
          <w:rFonts w:ascii="cwTeXKai" w:hAnsi="cwTeXKai" w:eastAsia="cwTeXKai"/>
          <w:b w:val="0"/>
          <w:sz w:val="28"/>
        </w:rPr>
        <w:t>預告登記本身是否因時間經過而消滅，實務與學說有不同見解。甲說認為從屬於請求權，時效消滅後預告登記失所附麗；乙說認為預告登記為獨立登記，不因請求權時效消滅而當然失效，仍須經權利人同意或法院判決始得塗銷（乙說為實務上有力見解，惟尚待判決字號確認）^[相關判決 無特定字號][全國法規資料庫]。</w:t>
      </w:r>
    </w:p>
    <w:p>
      <w:r>
        <w:rPr>
          <w:rFonts w:ascii="cwTeXKai" w:hAnsi="cwTeXKai" w:eastAsia="cwTeXKai"/>
          <w:b/>
          <w:color w:val="142855"/>
          <w:sz w:val="28"/>
        </w:rPr>
        <w:t xml:space="preserve">四、塗銷路徑  </w:t>
      </w:r>
      <w:r>
        <w:rPr>
          <w:rFonts w:ascii="cwTeXKai" w:hAnsi="cwTeXKai" w:eastAsia="cwTeXKai"/>
          <w:b w:val="0"/>
          <w:sz w:val="28"/>
        </w:rPr>
        <w:t>實務上主要有四種方式：①權利人出具同意書（最簡便）；②所有權人提起確認請求權不存在之訴或依民法§767請求除去^[民法§767]；③請求權因清償等事由消滅後請求塗銷；④徵收、判決、強制執行可穿透^[土地法§79-1③]。</w:t>
      </w:r>
    </w:p>
    <w:p>
      <w:r>
        <w:rPr>
          <w:rFonts w:ascii="cwTeXKai" w:hAnsi="cwTeXKai" w:eastAsia="cwTeXKai"/>
          <w:b/>
          <w:color w:val="B48C3C"/>
          <w:sz w:val="22"/>
        </w:rPr>
        <w:t>【本段資料來源】</w:t>
      </w:r>
    </w:p>
    <w:p>
      <w:r>
        <w:rPr>
          <w:rFonts w:ascii="cwTeXKai" w:hAnsi="cwTeXKai" w:eastAsia="cwTeXKai"/>
          <w:b w:val="0"/>
          <w:color w:val="B48C3C"/>
          <w:sz w:val="22"/>
        </w:rPr>
        <w:t xml:space="preserve">  ^全國法規資料庫 — law.moj.gov.tw 土地法§79-1、民法§425、§767、§826-1</w:t>
      </w:r>
    </w:p>
    <w:p>
      <w:r>
        <w:rPr>
          <w:rFonts w:ascii="cwTeXKai" w:hAnsi="cwTeXKai" w:eastAsia="cwTeXKai"/>
          <w:b w:val="0"/>
          <w:color w:val="B48C3C"/>
          <w:sz w:val="22"/>
        </w:rPr>
        <w:t xml:space="preserve">  ^相關判決 — 司法院法學資料檢索系統 judicial.gov.tw</w:t>
      </w:r>
    </w:p>
    <w:p>
      <w:r>
        <w:rPr>
          <w:rFonts w:ascii="cwTeXKai" w:hAnsi="cwTeXKai" w:eastAsia="cwTeXKai"/>
          <w:b w:val="0"/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cwTeXKai" w:hAnsi="cwTeXKai" w:eastAsia="cwTeXKai"/>
          <w:b/>
          <w:sz w:val="32"/>
        </w:rPr>
        <w:t>貳、代書（地政士）的法律框架</w:t>
      </w:r>
    </w:p>
    <w:p>
      <w:r>
        <w:rPr>
          <w:rFonts w:ascii="cwTeXKai" w:hAnsi="cwTeXKai" w:eastAsia="cwTeXKai"/>
          <w:b/>
          <w:color w:val="142855"/>
          <w:sz w:val="28"/>
        </w:rPr>
        <w:t xml:space="preserve">一、法定義務框架  </w:t>
      </w:r>
      <w:r>
        <w:rPr>
          <w:rFonts w:ascii="cwTeXKai" w:hAnsi="cwTeXKai" w:eastAsia="cwTeXKai"/>
          <w:b w:val="0"/>
          <w:sz w:val="28"/>
        </w:rPr>
        <w:t>地政士法第18條：應查明委託人確為登記標的物之權利人或權利關係人，並核對其身分^[地政士法§18]。第22條：簽證時應查明簽訂人身分為真正，簽證不實或錯誤致生損害者負賠償責任^[地政士法§22]。第27條第6款：禁止明知為不實之權利書狀、印鑑證明或其他證明文件而向登記機關申辦登記^[地政士法§27-VI]。</w:t>
      </w:r>
    </w:p>
    <w:p>
      <w:r>
        <w:rPr>
          <w:rFonts w:ascii="cwTeXKai" w:hAnsi="cwTeXKai" w:eastAsia="cwTeXKai"/>
          <w:b/>
          <w:color w:val="142855"/>
          <w:sz w:val="28"/>
        </w:rPr>
        <w:t xml:space="preserve">二、刑事責任框架  </w:t>
      </w:r>
      <w:r>
        <w:rPr>
          <w:rFonts w:ascii="cwTeXKai" w:hAnsi="cwTeXKai" w:eastAsia="cwTeXKai"/>
          <w:b w:val="0"/>
          <w:sz w:val="28"/>
        </w:rPr>
        <w:t>刑法第214條（使公務員登載不實罪）法定刑為3年以下有期徒刑^[刑法§214]。第215條（業務登載不實）、第339條（詐欺，5年以下）、第342條（背信，5年以下）^[刑法§339][刑法§342]。各條之成立以「故意」為要件，過失不罰。具體個案是否成立，視當事人主觀認知與客觀事實而定^[全國法規資料庫]。</w:t>
      </w:r>
    </w:p>
    <w:p>
      <w:r>
        <w:rPr>
          <w:rFonts w:ascii="cwTeXKai" w:hAnsi="cwTeXKai" w:eastAsia="cwTeXKai"/>
          <w:b/>
          <w:color w:val="142855"/>
          <w:sz w:val="28"/>
        </w:rPr>
        <w:t xml:space="preserve">三、民事責任框架  </w:t>
      </w:r>
      <w:r>
        <w:rPr>
          <w:rFonts w:ascii="cwTeXKai" w:hAnsi="cwTeXKai" w:eastAsia="cwTeXKai"/>
          <w:b w:val="0"/>
          <w:sz w:val="28"/>
        </w:rPr>
        <w:t>地政士法第26條：不正當行為或違反業務義務致生損害負賠償責任^[地政士法§26]。第22條：簽證不實由簽證基金代為支付，額度依管理辦法規定^[地政士簽證責任及簽證基金管理辦法]。民法第184條侵權行為、第185條共同侵權行為連帶責任，以故意或過失為要件^[民法§184][民法§185]。</w:t>
      </w:r>
    </w:p>
    <w:p>
      <w:r>
        <w:rPr>
          <w:rFonts w:ascii="cwTeXKai" w:hAnsi="cwTeXKai" w:eastAsia="cwTeXKai"/>
          <w:b/>
          <w:color w:val="142855"/>
          <w:sz w:val="28"/>
        </w:rPr>
        <w:t xml:space="preserve">四、行政責任框架  </w:t>
      </w:r>
      <w:r>
        <w:rPr>
          <w:rFonts w:ascii="cwTeXKai" w:hAnsi="cwTeXKai" w:eastAsia="cwTeXKai"/>
          <w:b w:val="0"/>
          <w:sz w:val="28"/>
        </w:rPr>
        <w:t>地政士法第43條：懲戒處分種類——警告、申誡、停止執行業務（2月~2年）、除名^[地政士法§43]。第44條列舉構成懲戒之情事，由地政士懲戒委員會審議^[地政士法§44]。</w:t>
      </w:r>
    </w:p>
    <w:p>
      <w:r>
        <w:rPr>
          <w:rFonts w:ascii="cwTeXKai" w:hAnsi="cwTeXKai" w:eastAsia="cwTeXKai"/>
          <w:b/>
          <w:color w:val="B48C3C"/>
          <w:sz w:val="22"/>
        </w:rPr>
        <w:t>【本段資料來源】</w:t>
      </w:r>
    </w:p>
    <w:p>
      <w:r>
        <w:rPr>
          <w:rFonts w:ascii="cwTeXKai" w:hAnsi="cwTeXKai" w:eastAsia="cwTeXKai"/>
          <w:b w:val="0"/>
          <w:color w:val="B48C3C"/>
          <w:sz w:val="22"/>
        </w:rPr>
        <w:t xml:space="preserve">  ^全國法規資料庫 — law.moj.gov.tw 地政士法§18,§22,§26,§27,§43,§44</w:t>
      </w:r>
    </w:p>
    <w:p>
      <w:r>
        <w:rPr>
          <w:rFonts w:ascii="cwTeXKai" w:hAnsi="cwTeXKai" w:eastAsia="cwTeXKai"/>
          <w:b w:val="0"/>
          <w:color w:val="B48C3C"/>
          <w:sz w:val="22"/>
        </w:rPr>
        <w:t xml:space="preserve">  ^相關判決 — 司法院法學資料檢索系統 judicial.gov.tw</w:t>
      </w:r>
    </w:p>
    <w:p>
      <w:r>
        <w:rPr>
          <w:rFonts w:ascii="cwTeXKai" w:hAnsi="cwTeXKai" w:eastAsia="cwTeXKai"/>
          <w:b w:val="0"/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cwTeXKai" w:hAnsi="cwTeXKai" w:eastAsia="cwTeXKai"/>
          <w:b/>
          <w:sz w:val="32"/>
        </w:rPr>
        <w:t>參、代書貸款情境下的三性觀察</w:t>
      </w:r>
    </w:p>
    <w:p>
      <w:r>
        <w:rPr>
          <w:rFonts w:ascii="cwTeXKai" w:hAnsi="cwTeXKai" w:eastAsia="cwTeXKai"/>
          <w:b w:val="0"/>
          <w:sz w:val="28"/>
        </w:rPr>
        <w:t>以下觀察以「債務人無任何借款」為前提，整理法律框架下可能涉及的討論面向。</w:t>
      </w:r>
    </w:p>
    <w:p>
      <w:r>
        <w:rPr>
          <w:rFonts w:ascii="cwTeXKai" w:hAnsi="cwTeXKai" w:eastAsia="cwTeXKai"/>
          <w:b/>
          <w:color w:val="142855"/>
          <w:sz w:val="28"/>
        </w:rPr>
        <w:t xml:space="preserve">一、制度目的面向（合理性）  </w:t>
      </w:r>
      <w:r>
        <w:rPr>
          <w:rFonts w:ascii="cwTeXKai" w:hAnsi="cwTeXKai" w:eastAsia="cwTeXKai"/>
          <w:b w:val="0"/>
          <w:sz w:val="28"/>
        </w:rPr>
        <w:t>預告登記（土地法§79-1）制度目的為保全將來可能發生之請求權。借款擔保之正當工具為抵押權（民法§860以下）^[民法§860]。若以預告登記作為擔保替代工具，手段與制度目的間之對應關係，涉及民法第148條權利濫用禁止之判斷^[民法§148]。</w:t>
      </w:r>
    </w:p>
    <w:p>
      <w:r>
        <w:rPr>
          <w:rFonts w:ascii="cwTeXKai" w:hAnsi="cwTeXKai" w:eastAsia="cwTeXKai"/>
          <w:b/>
          <w:color w:val="142855"/>
          <w:sz w:val="28"/>
        </w:rPr>
        <w:t xml:space="preserve">二、當事人利益平衡（正當性）  </w:t>
      </w:r>
      <w:r>
        <w:rPr>
          <w:rFonts w:ascii="cwTeXKai" w:hAnsi="cwTeXKai" w:eastAsia="cwTeXKai"/>
          <w:b w:val="0"/>
          <w:sz w:val="28"/>
        </w:rPr>
        <w:t>若無實際借款關係，預告登記所保全之請求權是否存在及其範圍，為法律上之根本問題。實務上曾發生以「辦理低利貸款」名義勸誘地主簽署預告登記同意書之案例^[相關判決]。同意書若係因被詐欺而簽署，依民法第92條得撤銷，須於發現詐欺後一年內為之（民法第93條除斥期間）^[民法§93]。</w:t>
      </w:r>
    </w:p>
    <w:p>
      <w:r>
        <w:rPr>
          <w:rFonts w:ascii="cwTeXKai" w:hAnsi="cwTeXKai" w:eastAsia="cwTeXKai"/>
          <w:b/>
          <w:color w:val="142855"/>
          <w:sz w:val="28"/>
        </w:rPr>
        <w:t xml:space="preserve">三、法條架構檢視（合規性）  </w:t>
      </w:r>
      <w:r>
        <w:rPr>
          <w:rFonts w:ascii="cwTeXKai" w:hAnsi="cwTeXKai" w:eastAsia="cwTeXKai"/>
          <w:b w:val="0"/>
          <w:sz w:val="28"/>
        </w:rPr>
        <w:t>土地法§79-1第1項以「有請求權存在」為前提。地政士法第27條第6款禁止明知不實而申辦登記^[地政士法§27-VI]。刑法第214條以「明知」為主觀要件，個案是否該當應由司法機關依具體事實判斷^[刑法§214]。</w:t>
      </w:r>
    </w:p>
    <w:p>
      <w:r>
        <w:rPr>
          <w:rFonts w:ascii="cwTeXKai" w:hAnsi="cwTeXKai" w:eastAsia="cwTeXKai"/>
          <w:b/>
          <w:color w:val="142855"/>
          <w:sz w:val="24"/>
        </w:rPr>
        <w:t>刑法第214條</w:t>
      </w:r>
      <w:r>
        <w:rPr>
          <w:rFonts w:ascii="cwTeXKai" w:hAnsi="cwTeXKai" w:eastAsia="cwTeXKai"/>
          <w:b w:val="0"/>
          <w:color w:val="646464"/>
          <w:sz w:val="24"/>
        </w:rPr>
        <w:t xml:space="preserve"> ^[全國法規資料庫]</w:t>
      </w:r>
    </w:p>
    <w:p>
      <w:r>
        <w:rPr>
          <w:rFonts w:ascii="cwTeXKai" w:hAnsi="cwTeXKai" w:eastAsia="cwTeXKai"/>
          <w:b w:val="0"/>
          <w:sz w:val="28"/>
        </w:rPr>
        <w:t>「明知為不實之事項，而使公務員登載於職務上所掌之公文書，足以生損害於公眾或他人者，處三年以下有期徒刑、拘役或一萬五千元以下罰金。」</w:t>
      </w:r>
    </w:p>
    <w:p>
      <w:r>
        <w:rPr>
          <w:rFonts w:ascii="cwTeXKai" w:hAnsi="cwTeXKai" w:eastAsia="cwTeXKai"/>
          <w:b/>
          <w:color w:val="B48C3C"/>
          <w:sz w:val="22"/>
        </w:rPr>
        <w:t>【本段資料來源】</w:t>
      </w:r>
    </w:p>
    <w:p>
      <w:r>
        <w:rPr>
          <w:rFonts w:ascii="cwTeXKai" w:hAnsi="cwTeXKai" w:eastAsia="cwTeXKai"/>
          <w:b w:val="0"/>
          <w:color w:val="B48C3C"/>
          <w:sz w:val="22"/>
        </w:rPr>
        <w:t xml:space="preserve">  ^全國法規資料庫 — law.moj.gov.tw 土地法§79-1、民法§92、§93、§148、§860、刑法§214、地政士法§27-VI</w:t>
      </w:r>
    </w:p>
    <w:p>
      <w:r>
        <w:rPr>
          <w:rFonts w:ascii="cwTeXKai" w:hAnsi="cwTeXKai" w:eastAsia="cwTeXKai"/>
          <w:b w:val="0"/>
          <w:color w:val="B48C3C"/>
          <w:sz w:val="22"/>
        </w:rPr>
        <w:t xml:space="preserve">  ^相關判決 — 司法院法學資料檢索系統 judicial.gov.tw</w:t>
      </w:r>
    </w:p>
    <w:p>
      <w:r>
        <w:rPr>
          <w:rFonts w:ascii="cwTeXKai" w:hAnsi="cwTeXKai" w:eastAsia="cwTeXKai"/>
          <w:b w:val="0"/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cwTeXKai" w:hAnsi="cwTeXKai" w:eastAsia="cwTeXKai"/>
          <w:b/>
          <w:sz w:val="32"/>
        </w:rPr>
        <w:t>肆、上市櫃公司收受文件之實務框架</w:t>
      </w:r>
    </w:p>
    <w:p>
      <w:r>
        <w:rPr>
          <w:rFonts w:ascii="cwTeXKai" w:hAnsi="cwTeXKai" w:eastAsia="cwTeXKai"/>
          <w:b/>
          <w:color w:val="142855"/>
          <w:sz w:val="28"/>
        </w:rPr>
        <w:t xml:space="preserve">一、情境說明  </w:t>
      </w:r>
      <w:r>
        <w:rPr>
          <w:rFonts w:ascii="cwTeXKai" w:hAnsi="cwTeXKai" w:eastAsia="cwTeXKai"/>
          <w:b w:val="0"/>
          <w:sz w:val="28"/>
        </w:rPr>
        <w:t>實務上若上市櫃公司於業務過程中收受正本權狀、自然人憑證及印鑑證明，且當事人間無實際借款關係，此等文件組合之保管與使用，涉及多項法規之框架檢視。</w:t>
      </w:r>
    </w:p>
    <w:p>
      <w:r>
        <w:rPr>
          <w:rFonts w:ascii="cwTeXKai" w:hAnsi="cwTeXKai" w:eastAsia="cwTeXKai"/>
          <w:b/>
          <w:color w:val="142855"/>
          <w:sz w:val="28"/>
        </w:rPr>
        <w:t xml:space="preserve">二、各文件之法律地位  </w:t>
      </w:r>
      <w:r>
        <w:rPr>
          <w:rFonts w:ascii="cwTeXKai" w:hAnsi="cwTeXKai" w:eastAsia="cwTeXKai"/>
          <w:b w:val="0"/>
          <w:sz w:val="28"/>
        </w:rPr>
        <w:t>土地權狀為所有權證明文件。自然人憑證依內政部使用規範應由本人保管使用^[內政部憑證管理中心：moica.nat.gov.tw]。印鑑證明為辦理土地登記之重要文件。三文件若同時由他人持有，理論上具備辦理多種登記之文件條件，但實際登記仍須符合土地登記規則之各項要件^[全國法規資料庫]。</w:t>
      </w:r>
    </w:p>
    <w:p>
      <w:r>
        <w:rPr>
          <w:rFonts w:ascii="cwTeXKai" w:hAnsi="cwTeXKai" w:eastAsia="cwTeXKai"/>
          <w:b/>
          <w:color w:val="142855"/>
          <w:sz w:val="28"/>
        </w:rPr>
        <w:t xml:space="preserve">三、相關法條框架  </w:t>
      </w:r>
      <w:r>
        <w:rPr>
          <w:rFonts w:ascii="cwTeXKai" w:hAnsi="cwTeXKai" w:eastAsia="cwTeXKai"/>
          <w:b w:val="0"/>
          <w:sz w:val="28"/>
        </w:rPr>
        <w:t>地政士法§27-6（明知不實申辦禁止）、§44（懲戒框架）^[地政士法§27-VI][地政士法§44]。刑法§214（使公務員登載不實）、§339（詐欺）、§358（入侵電腦），各以故意為前提^[刑法§214][刑法§339][刑法§358]。證交法§20第1項禁止虛偽、詐欺等行為（含募集、發行、私募或買賣）；違反者依§171第1項第1款處3年以上10年以下有期徒刑^[證交法§20][證交法§171]。公司法§23規範負責人忠實義務與連帶賠償責任^[公司法§23]。</w:t>
      </w:r>
    </w:p>
    <w:p>
      <w:r>
        <w:rPr>
          <w:rFonts w:ascii="cwTeXKai" w:hAnsi="cwTeXKai" w:eastAsia="cwTeXKai"/>
          <w:b/>
          <w:color w:val="142855"/>
          <w:sz w:val="28"/>
        </w:rPr>
        <w:t xml:space="preserve">四、監理架構  </w:t>
      </w:r>
      <w:r>
        <w:rPr>
          <w:rFonts w:ascii="cwTeXKai" w:hAnsi="cwTeXKai" w:eastAsia="cwTeXKai"/>
          <w:b w:val="0"/>
          <w:sz w:val="28"/>
        </w:rPr>
        <w:t>上市櫃公司同時受金管會證期局（證券交易法）、地政主管機關（地政士法）、內政部（憑證管理）之規範^[證交法][地政士法][內政部]。投保中心團體訴訟機制在涉及多數受害人時可能啟動^[投資人保護法]。</w:t>
      </w:r>
    </w:p>
    <w:p>
      <w:r>
        <w:rPr>
          <w:rFonts w:ascii="cwTeXKai" w:hAnsi="cwTeXKai" w:eastAsia="cwTeXKai"/>
          <w:b/>
          <w:color w:val="142855"/>
          <w:sz w:val="24"/>
        </w:rPr>
        <w:t>證券交易法第20條第1項、第2項</w:t>
      </w:r>
      <w:r>
        <w:rPr>
          <w:rFonts w:ascii="cwTeXKai" w:hAnsi="cwTeXKai" w:eastAsia="cwTeXKai"/>
          <w:b w:val="0"/>
          <w:color w:val="646464"/>
          <w:sz w:val="24"/>
        </w:rPr>
        <w:t xml:space="preserve"> ^[全國法規資料庫 現行條文]</w:t>
      </w:r>
    </w:p>
    <w:p>
      <w:r>
        <w:rPr>
          <w:rFonts w:ascii="cwTeXKai" w:hAnsi="cwTeXKai" w:eastAsia="cwTeXKai"/>
          <w:b w:val="0"/>
          <w:sz w:val="28"/>
        </w:rPr>
        <w:t>「對於有價證券之募集、發行、私募或買賣，不得有虛偽、詐欺或其他足致他人誤信之行為。發行人依本法規定申報或公告之財務報告及財務業務文件，其內容不得有虛偽或隱匿之情事。（違反者依§171第1項第1款處3年以上10年以下有期徒刑）」</w:t>
      </w:r>
    </w:p>
    <w:p>
      <w:r>
        <w:rPr>
          <w:rFonts w:ascii="cwTeXKai" w:hAnsi="cwTeXKai" w:eastAsia="cwTeXKai"/>
          <w:b/>
          <w:color w:val="B48C3C"/>
          <w:sz w:val="22"/>
        </w:rPr>
        <w:t>【本段資料來源】</w:t>
      </w:r>
    </w:p>
    <w:p>
      <w:r>
        <w:rPr>
          <w:rFonts w:ascii="cwTeXKai" w:hAnsi="cwTeXKai" w:eastAsia="cwTeXKai"/>
          <w:b w:val="0"/>
          <w:color w:val="B48C3C"/>
          <w:sz w:val="22"/>
        </w:rPr>
        <w:t xml:space="preserve">  ^全國法規資料庫 — law.moj.gov.tw 證交法§20,§171、公司法§23、地政士法§27,§44、刑法§214,§339,§358</w:t>
      </w:r>
    </w:p>
    <w:p>
      <w:r>
        <w:rPr>
          <w:rFonts w:ascii="cwTeXKai" w:hAnsi="cwTeXKai" w:eastAsia="cwTeXKai"/>
          <w:b w:val="0"/>
          <w:color w:val="B48C3C"/>
          <w:sz w:val="22"/>
        </w:rPr>
        <w:t xml:space="preserve">  ^內政部憑證管理中心 — moica.nat.gov.tw 自然人憑證使用規範</w:t>
      </w:r>
    </w:p>
    <w:p>
      <w:r>
        <w:rPr>
          <w:rFonts w:ascii="cwTeXKai" w:hAnsi="cwTeXKai" w:eastAsia="cwTeXKai"/>
          <w:b w:val="0"/>
          <w:color w:val="B48C3C"/>
          <w:sz w:val="22"/>
        </w:rPr>
        <w:t xml:space="preserve">  ^證券投資人及期貨交易人保護法 — 投保中心團體訴訟機制</w:t>
      </w:r>
    </w:p>
    <w:p>
      <w:r>
        <w:rPr>
          <w:rFonts w:ascii="cwTeXKai" w:hAnsi="cwTeXKai" w:eastAsia="cwTeXKai"/>
          <w:b w:val="0"/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cwTeXKai" w:hAnsi="cwTeXKai" w:eastAsia="cwTeXKai"/>
          <w:b/>
          <w:sz w:val="32"/>
        </w:rPr>
        <w:t>伍、綜合整理與參考路徑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42855"/>
          </w:tcPr>
          <w:p>
            <w:r>
              <w:rPr>
                <w:rFonts w:ascii="cwTeXKai" w:hAnsi="cwTeXKai" w:eastAsia="cwTeXKai"/>
                <w:b/>
                <w:color w:val="FFFFFF"/>
                <w:sz w:val="24"/>
              </w:rPr>
              <w:t>主題</w:t>
            </w:r>
          </w:p>
        </w:tc>
        <w:tc>
          <w:tcPr>
            <w:tcW w:type="dxa" w:w="2268"/>
            <w:shd w:fill="142855"/>
          </w:tcPr>
          <w:p>
            <w:r>
              <w:rPr>
                <w:rFonts w:ascii="cwTeXKai" w:hAnsi="cwTeXKai" w:eastAsia="cwTeXKai"/>
                <w:b/>
                <w:color w:val="FFFFFF"/>
                <w:sz w:val="24"/>
              </w:rPr>
              <w:t>關注程度</w:t>
            </w:r>
          </w:p>
        </w:tc>
        <w:tc>
          <w:tcPr>
            <w:tcW w:type="dxa" w:w="2268"/>
            <w:shd w:fill="142855"/>
          </w:tcPr>
          <w:p>
            <w:r>
              <w:rPr>
                <w:rFonts w:ascii="cwTeXKai" w:hAnsi="cwTeXKai" w:eastAsia="cwTeXKai"/>
                <w:b/>
                <w:color w:val="FFFFFF"/>
                <w:sz w:val="24"/>
              </w:rPr>
              <w:t>法條框架</w:t>
            </w:r>
          </w:p>
        </w:tc>
        <w:tc>
          <w:tcPr>
            <w:tcW w:type="dxa" w:w="2268"/>
            <w:shd w:fill="142855"/>
          </w:tcPr>
          <w:p>
            <w:r>
              <w:rPr>
                <w:rFonts w:ascii="cwTeXKai" w:hAnsi="cwTeXKai" w:eastAsia="cwTeXKai"/>
                <w:b/>
                <w:color w:val="FFFFFF"/>
                <w:sz w:val="24"/>
              </w:rPr>
              <w:t>G3 引用</w:t>
            </w:r>
          </w:p>
        </w:tc>
      </w:tr>
      <w:tr>
        <w:tc>
          <w:tcPr>
            <w:tcW w:type="dxa" w:w="2268"/>
          </w:tcPr>
          <w:p>
            <w:r>
              <w:rPr>
                <w:rFonts w:ascii="cwTeXKai" w:hAnsi="cwTeXKai" w:eastAsia="cwTeXKai"/>
                <w:b w:val="0"/>
                <w:sz w:val="24"/>
              </w:rPr>
              <w:t>預告登記效力</w:t>
            </w:r>
          </w:p>
        </w:tc>
        <w:tc>
          <w:tcPr>
            <w:tcW w:type="dxa" w:w="2268"/>
          </w:tcPr>
          <w:p>
            <w:r>
              <w:rPr>
                <w:rFonts w:ascii="cwTeXKai" w:hAnsi="cwTeXKai" w:eastAsia="cwTeXKai"/>
                <w:b w:val="0"/>
                <w:sz w:val="24"/>
              </w:rPr>
              <w:t>高</w:t>
            </w:r>
          </w:p>
        </w:tc>
        <w:tc>
          <w:tcPr>
            <w:tcW w:type="dxa" w:w="2268"/>
          </w:tcPr>
          <w:p>
            <w:r>
              <w:rPr>
                <w:rFonts w:ascii="cwTeXKai" w:hAnsi="cwTeXKai" w:eastAsia="cwTeXKai"/>
                <w:b w:val="0"/>
                <w:sz w:val="24"/>
              </w:rPr>
              <w:t>土法§79-1, 民§148, 民§767</w:t>
            </w:r>
          </w:p>
        </w:tc>
        <w:tc>
          <w:tcPr>
            <w:tcW w:type="dxa" w:w="2268"/>
          </w:tcPr>
          <w:p>
            <w:r>
              <w:rPr>
                <w:rFonts w:ascii="cwTeXKai" w:hAnsi="cwTeXKai" w:eastAsia="cwTeXKai"/>
                <w:b w:val="0"/>
                <w:sz w:val="24"/>
              </w:rPr>
              <w:t>^[全國法規資料庫]</w:t>
            </w:r>
          </w:p>
        </w:tc>
      </w:tr>
      <w:tr>
        <w:tc>
          <w:tcPr>
            <w:tcW w:type="dxa" w:w="2268"/>
          </w:tcPr>
          <w:p>
            <w:r>
              <w:rPr>
                <w:rFonts w:ascii="cwTeXKai" w:hAnsi="cwTeXKai" w:eastAsia="cwTeXKai"/>
                <w:b w:val="0"/>
                <w:sz w:val="24"/>
              </w:rPr>
              <w:t>代書義務檢視</w:t>
            </w:r>
          </w:p>
        </w:tc>
        <w:tc>
          <w:tcPr>
            <w:tcW w:type="dxa" w:w="2268"/>
          </w:tcPr>
          <w:p>
            <w:r>
              <w:rPr>
                <w:rFonts w:ascii="cwTeXKai" w:hAnsi="cwTeXKai" w:eastAsia="cwTeXKai"/>
                <w:b w:val="0"/>
                <w:sz w:val="24"/>
              </w:rPr>
              <w:t>高</w:t>
            </w:r>
          </w:p>
        </w:tc>
        <w:tc>
          <w:tcPr>
            <w:tcW w:type="dxa" w:w="2268"/>
          </w:tcPr>
          <w:p>
            <w:r>
              <w:rPr>
                <w:rFonts w:ascii="cwTeXKai" w:hAnsi="cwTeXKai" w:eastAsia="cwTeXKai"/>
                <w:b w:val="0"/>
                <w:sz w:val="24"/>
              </w:rPr>
              <w:t>地政士§18, §26, §27, §44</w:t>
            </w:r>
          </w:p>
        </w:tc>
        <w:tc>
          <w:tcPr>
            <w:tcW w:type="dxa" w:w="2268"/>
          </w:tcPr>
          <w:p>
            <w:r>
              <w:rPr>
                <w:rFonts w:ascii="cwTeXKai" w:hAnsi="cwTeXKai" w:eastAsia="cwTeXKai"/>
                <w:b w:val="0"/>
                <w:sz w:val="24"/>
              </w:rPr>
              <w:t>^[全國法規資料庫]</w:t>
            </w:r>
          </w:p>
        </w:tc>
      </w:tr>
      <w:tr>
        <w:tc>
          <w:tcPr>
            <w:tcW w:type="dxa" w:w="2268"/>
          </w:tcPr>
          <w:p>
            <w:r>
              <w:rPr>
                <w:rFonts w:ascii="cwTeXKai" w:hAnsi="cwTeXKai" w:eastAsia="cwTeXKai"/>
                <w:b w:val="0"/>
                <w:sz w:val="24"/>
              </w:rPr>
              <w:t>刑事框架</w:t>
            </w:r>
          </w:p>
        </w:tc>
        <w:tc>
          <w:tcPr>
            <w:tcW w:type="dxa" w:w="2268"/>
          </w:tcPr>
          <w:p>
            <w:r>
              <w:rPr>
                <w:rFonts w:ascii="cwTeXKai" w:hAnsi="cwTeXKai" w:eastAsia="cwTeXKai"/>
                <w:b w:val="0"/>
                <w:sz w:val="24"/>
              </w:rPr>
              <w:t>個案判斷</w:t>
            </w:r>
          </w:p>
        </w:tc>
        <w:tc>
          <w:tcPr>
            <w:tcW w:type="dxa" w:w="2268"/>
          </w:tcPr>
          <w:p>
            <w:r>
              <w:rPr>
                <w:rFonts w:ascii="cwTeXKai" w:hAnsi="cwTeXKai" w:eastAsia="cwTeXKai"/>
                <w:b w:val="0"/>
                <w:sz w:val="24"/>
              </w:rPr>
              <w:t>刑§214, §339, §342, §358</w:t>
            </w:r>
          </w:p>
        </w:tc>
        <w:tc>
          <w:tcPr>
            <w:tcW w:type="dxa" w:w="2268"/>
          </w:tcPr>
          <w:p>
            <w:r>
              <w:rPr>
                <w:rFonts w:ascii="cwTeXKai" w:hAnsi="cwTeXKai" w:eastAsia="cwTeXKai"/>
                <w:b w:val="0"/>
                <w:sz w:val="24"/>
              </w:rPr>
              <w:t>^[全國法規資料庫]</w:t>
            </w:r>
          </w:p>
        </w:tc>
      </w:tr>
      <w:tr>
        <w:tc>
          <w:tcPr>
            <w:tcW w:type="dxa" w:w="2268"/>
          </w:tcPr>
          <w:p>
            <w:r>
              <w:rPr>
                <w:rFonts w:ascii="cwTeXKai" w:hAnsi="cwTeXKai" w:eastAsia="cwTeXKai"/>
                <w:b w:val="0"/>
                <w:sz w:val="24"/>
              </w:rPr>
              <w:t>文件保管</w:t>
            </w:r>
          </w:p>
        </w:tc>
        <w:tc>
          <w:tcPr>
            <w:tcW w:type="dxa" w:w="2268"/>
          </w:tcPr>
          <w:p>
            <w:r>
              <w:rPr>
                <w:rFonts w:ascii="cwTeXKai" w:hAnsi="cwTeXKai" w:eastAsia="cwTeXKai"/>
                <w:b w:val="0"/>
                <w:sz w:val="24"/>
              </w:rPr>
              <w:t>視契約而定</w:t>
            </w:r>
          </w:p>
        </w:tc>
        <w:tc>
          <w:tcPr>
            <w:tcW w:type="dxa" w:w="2268"/>
          </w:tcPr>
          <w:p>
            <w:r>
              <w:rPr>
                <w:rFonts w:ascii="cwTeXKai" w:hAnsi="cwTeXKai" w:eastAsia="cwTeXKai"/>
                <w:b w:val="0"/>
                <w:sz w:val="24"/>
              </w:rPr>
              <w:t>民法債編, 內政部規範</w:t>
            </w:r>
          </w:p>
        </w:tc>
        <w:tc>
          <w:tcPr>
            <w:tcW w:type="dxa" w:w="2268"/>
          </w:tcPr>
          <w:p>
            <w:r>
              <w:rPr>
                <w:rFonts w:ascii="cwTeXKai" w:hAnsi="cwTeXKai" w:eastAsia="cwTeXKai"/>
                <w:b w:val="0"/>
                <w:sz w:val="24"/>
              </w:rPr>
              <w:t>^[內政部]</w:t>
            </w:r>
          </w:p>
        </w:tc>
      </w:tr>
      <w:tr>
        <w:tc>
          <w:tcPr>
            <w:tcW w:type="dxa" w:w="2268"/>
          </w:tcPr>
          <w:p>
            <w:r>
              <w:rPr>
                <w:rFonts w:ascii="cwTeXKai" w:hAnsi="cwTeXKai" w:eastAsia="cwTeXKai"/>
                <w:b w:val="0"/>
                <w:sz w:val="24"/>
              </w:rPr>
              <w:t>上市櫃監理</w:t>
            </w:r>
          </w:p>
        </w:tc>
        <w:tc>
          <w:tcPr>
            <w:tcW w:type="dxa" w:w="2268"/>
          </w:tcPr>
          <w:p>
            <w:r>
              <w:rPr>
                <w:rFonts w:ascii="cwTeXKai" w:hAnsi="cwTeXKai" w:eastAsia="cwTeXKai"/>
                <w:b w:val="0"/>
                <w:sz w:val="24"/>
              </w:rPr>
              <w:t>視行為態樣</w:t>
            </w:r>
          </w:p>
        </w:tc>
        <w:tc>
          <w:tcPr>
            <w:tcW w:type="dxa" w:w="2268"/>
          </w:tcPr>
          <w:p>
            <w:r>
              <w:rPr>
                <w:rFonts w:ascii="cwTeXKai" w:hAnsi="cwTeXKai" w:eastAsia="cwTeXKai"/>
                <w:b w:val="0"/>
                <w:sz w:val="24"/>
              </w:rPr>
              <w:t>證交§20, §171, 公司§23</w:t>
            </w:r>
          </w:p>
        </w:tc>
        <w:tc>
          <w:tcPr>
            <w:tcW w:type="dxa" w:w="2268"/>
          </w:tcPr>
          <w:p>
            <w:r>
              <w:rPr>
                <w:rFonts w:ascii="cwTeXKai" w:hAnsi="cwTeXKai" w:eastAsia="cwTeXKai"/>
                <w:b w:val="0"/>
                <w:sz w:val="24"/>
              </w:rPr>
              <w:t>^[全國法規資料庫]</w:t>
            </w:r>
          </w:p>
        </w:tc>
      </w:tr>
    </w:tbl>
    <w:p/>
    <w:p>
      <w:r>
        <w:rPr>
          <w:rFonts w:ascii="cwTeXKai" w:hAnsi="cwTeXKai" w:eastAsia="cwTeXKai"/>
          <w:b/>
          <w:color w:val="B42828"/>
          <w:sz w:val="28"/>
        </w:rPr>
        <w:t>個案情形應依具體事實判斷，建議諮詢執業律師。</w:t>
      </w:r>
    </w:p>
    <w:p/>
    <w:p>
      <w:r>
        <w:rPr>
          <w:rFonts w:ascii="cwTeXKai" w:hAnsi="cwTeXKai" w:eastAsia="cwTeXKai"/>
          <w:b/>
          <w:color w:val="142855"/>
          <w:sz w:val="28"/>
        </w:rPr>
        <w:t xml:space="preserve">實務參考路徑  </w:t>
      </w:r>
      <w:r>
        <w:rPr>
          <w:rFonts w:ascii="cwTeXKai" w:hAnsi="cwTeXKai" w:eastAsia="cwTeXKai"/>
          <w:b w:val="0"/>
          <w:sz w:val="28"/>
        </w:rPr>
        <w:t>① 調閱土地登記謄本確認已登記事項 ^[全國地政電子謄本系統]</w:t>
        <w:br/>
        <w:t>② 若涉及自然人憑證遭他人使用，可向內政部憑證管理中心洽詢 ^[內政部]</w:t>
        <w:br/>
        <w:t>③ 若涉及地政士不當行為，可向地政士懲戒委員會檢舉 ^[地政士法§44~§48]</w:t>
        <w:br/>
        <w:t>④ 涉及上市櫃公司事項，可向金管會證期局洽詢 ^[證交法§20]</w:t>
        <w:br/>
        <w:t>⑤ 民事爭議得委任律師提出確認之訴或請求塗銷登記 ^[民訴§247][民法§767]</w:t>
        <w:br/>
        <w:t>⑥ 刑事疑義得向地檢署告訴或告發，由司法機關依法偵查 ^[刑事訴訟法]</w:t>
      </w:r>
    </w:p>
    <w:p>
      <w:r>
        <w:rPr>
          <w:rFonts w:ascii="cwTeXKai" w:hAnsi="cwTeXKai" w:eastAsia="cwTeXKai"/>
          <w:b/>
          <w:color w:val="B48C3C"/>
          <w:sz w:val="22"/>
        </w:rPr>
        <w:t>【本段資料來源】</w:t>
      </w:r>
    </w:p>
    <w:p>
      <w:r>
        <w:rPr>
          <w:rFonts w:ascii="cwTeXKai" w:hAnsi="cwTeXKai" w:eastAsia="cwTeXKai"/>
          <w:b w:val="0"/>
          <w:color w:val="B48C3C"/>
          <w:sz w:val="22"/>
        </w:rPr>
        <w:t xml:space="preserve">  ^全國法規資料庫 — law.moj.gov.tw 所有引用條文原始出處</w:t>
      </w:r>
    </w:p>
    <w:p>
      <w:r>
        <w:rPr>
          <w:rFonts w:ascii="cwTeXKai" w:hAnsi="cwTeXKai" w:eastAsia="cwTeXKai"/>
          <w:b w:val="0"/>
          <w:color w:val="B48C3C"/>
          <w:sz w:val="22"/>
        </w:rPr>
        <w:t xml:space="preserve">  ^司法院法學資料檢索系統 — judicial.gov.tw 相關判決與實務見解</w:t>
      </w:r>
    </w:p>
    <w:p>
      <w:r>
        <w:rPr>
          <w:rFonts w:ascii="cwTeXKai" w:hAnsi="cwTeXKai" w:eastAsia="cwTeXKai"/>
          <w:b w:val="0"/>
          <w:color w:val="B48C3C"/>
          <w:sz w:val="22"/>
        </w:rPr>
        <w:t xml:space="preserve">  ^內政部地政司 — land.moi.gov.tw 土地登記規則、預告登記作業說明</w:t>
      </w:r>
    </w:p>
    <w:p>
      <w:r>
        <w:rPr>
          <w:rFonts w:ascii="cwTeXKai" w:hAnsi="cwTeXKai" w:eastAsia="cwTeXKai"/>
          <w:b w:val="0"/>
          <w:color w:val="B48C3C"/>
          <w:sz w:val="22"/>
        </w:rPr>
        <w:t xml:space="preserve">  ^內政部憑證管理中心 — moica.nat.gov.tw 自然人憑證使用規範</w:t>
      </w:r>
    </w:p>
    <w:p>
      <w:r>
        <w:rPr>
          <w:rFonts w:ascii="cwTeXKai" w:hAnsi="cwTeXKai" w:eastAsia="cwTeXKai"/>
          <w:b w:val="0"/>
          <w:color w:val="B48C3C"/>
          <w:sz w:val="22"/>
        </w:rPr>
        <w:t xml:space="preserve">  ^證券投資人及期貨交易人保護法 — 投保中心團體訴訟機制</w:t>
      </w:r>
    </w:p>
    <w:p>
      <w:r>
        <w:rPr>
          <w:rFonts w:ascii="cwTeXKai" w:hAnsi="cwTeXKai" w:eastAsia="cwTeXKai"/>
          <w:b w:val="0"/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cwTeXKai" w:hAnsi="cwTeXKai" w:eastAsia="cwTeXKai"/>
          <w:b/>
          <w:sz w:val="32"/>
        </w:rPr>
        <w:t>陸、G3 引用彙總表</w:t>
      </w:r>
    </w:p>
    <w:p>
      <w:r>
        <w:rPr>
          <w:rFonts w:ascii="cwTeXKai" w:hAnsi="cwTeXKai" w:eastAsia="cwTeXKai"/>
          <w:b/>
          <w:color w:val="B48C3C"/>
          <w:sz w:val="22"/>
        </w:rPr>
        <w:t>【本段資料來源】</w:t>
      </w:r>
    </w:p>
    <w:p>
      <w:r>
        <w:rPr>
          <w:rFonts w:ascii="cwTeXKai" w:hAnsi="cwTeXKai" w:eastAsia="cwTeXKai"/>
          <w:b w:val="0"/>
          <w:color w:val="B48C3C"/>
          <w:sz w:val="22"/>
        </w:rPr>
        <w:t xml:space="preserve">  ^全國法規資料庫 — law.moj.gov.tw 土地法、地政士法、刑法、民法、證券交易法、公司法</w:t>
      </w:r>
    </w:p>
    <w:p>
      <w:r>
        <w:rPr>
          <w:rFonts w:ascii="cwTeXKai" w:hAnsi="cwTeXKai" w:eastAsia="cwTeXKai"/>
          <w:b w:val="0"/>
          <w:color w:val="B48C3C"/>
          <w:sz w:val="22"/>
        </w:rPr>
        <w:t xml:space="preserve">  ^司法院法學資料檢索系統 — judicial.gov.tw 相關判決與實務見解</w:t>
      </w:r>
    </w:p>
    <w:p>
      <w:r>
        <w:rPr>
          <w:rFonts w:ascii="cwTeXKai" w:hAnsi="cwTeXKai" w:eastAsia="cwTeXKai"/>
          <w:b w:val="0"/>
          <w:color w:val="B48C3C"/>
          <w:sz w:val="22"/>
        </w:rPr>
        <w:t xml:space="preserve">  ^內政部地政司 — land.moi.gov.tw 土地登記規則、預告登記作業說明</w:t>
      </w:r>
    </w:p>
    <w:p>
      <w:r>
        <w:rPr>
          <w:rFonts w:ascii="cwTeXKai" w:hAnsi="cwTeXKai" w:eastAsia="cwTeXKai"/>
          <w:b w:val="0"/>
          <w:color w:val="B48C3C"/>
          <w:sz w:val="22"/>
        </w:rPr>
        <w:t xml:space="preserve">  ^內政部憑證管理中心 — moica.nat.gov.tw 自然人憑證使用規範</w:t>
      </w:r>
    </w:p>
    <w:p>
      <w:r>
        <w:rPr>
          <w:rFonts w:ascii="cwTeXKai" w:hAnsi="cwTeXKai" w:eastAsia="cwTeXKai"/>
          <w:b w:val="0"/>
          <w:color w:val="B48C3C"/>
          <w:sz w:val="22"/>
        </w:rPr>
        <w:t xml:space="preserve">  ^證券投資人及期貨交易人保護法 — 投保中心團體訴訟機制</w:t>
      </w:r>
    </w:p>
    <w:p>
      <w:r>
        <w:rPr>
          <w:rFonts w:ascii="cwTeXKai" w:hAnsi="cwTeXKai" w:eastAsia="cwTeXKai"/>
          <w:b w:val="0"/>
          <w:color w:val="B48C3C"/>
          <w:sz w:val="22"/>
        </w:rPr>
        <w:t xml:space="preserve">  ^民法§92,§93,§148,§184,§185,§425,§767,§826-1,§860 — 全國法規資料庫</w:t>
      </w:r>
    </w:p>
    <w:p>
      <w:r>
        <w:rPr>
          <w:rFonts w:ascii="cwTeXKai" w:hAnsi="cwTeXKai" w:eastAsia="cwTeXKai"/>
          <w:b w:val="0"/>
          <w:color w:val="B48C3C"/>
          <w:sz w:val="22"/>
        </w:rPr>
        <w:t xml:space="preserve">  ^刑法§214,§339,§342,§358 — 全國法規資料庫</w:t>
      </w:r>
    </w:p>
    <w:p>
      <w:r>
        <w:rPr>
          <w:rFonts w:ascii="cwTeXKai" w:hAnsi="cwTeXKai" w:eastAsia="cwTeXKai"/>
          <w:b w:val="0"/>
          <w:color w:val="B48C3C"/>
          <w:sz w:val="22"/>
        </w:rPr>
        <w:t xml:space="preserve">  ^地政士法§18,§22,§26,§27-VI,§43,§44,§45~§48 — 全國法規資料庫</w:t>
      </w:r>
    </w:p>
    <w:p>
      <w:r>
        <w:rPr>
          <w:rFonts w:ascii="cwTeXKai" w:hAnsi="cwTeXKai" w:eastAsia="cwTeXKai"/>
          <w:b w:val="0"/>
          <w:color w:val="B48C3C"/>
          <w:sz w:val="22"/>
        </w:rPr>
        <w:t xml:space="preserve">  ^證交法§20,§171 — 全國法規資料庫</w:t>
      </w:r>
    </w:p>
    <w:p>
      <w:r>
        <w:rPr>
          <w:rFonts w:ascii="cwTeXKai" w:hAnsi="cwTeXKai" w:eastAsia="cwTeXKai"/>
          <w:b w:val="0"/>
          <w:color w:val="B48C3C"/>
          <w:sz w:val="22"/>
        </w:rPr>
        <w:t xml:space="preserve">  ^公司法§23 — 全國法規資料庫</w:t>
      </w:r>
    </w:p>
    <w:p>
      <w:r>
        <w:rPr>
          <w:rFonts w:ascii="cwTeXKai" w:hAnsi="cwTeXKai" w:eastAsia="cwTeXKai"/>
          <w:b w:val="0"/>
          <w:color w:val="B48C3C"/>
          <w:sz w:val="22"/>
        </w:rPr>
        <w:t xml:space="preserve">  ^民訴§247 — 全國法規資料庫</w:t>
      </w:r>
    </w:p>
    <w:p>
      <w:r>
        <w:rPr>
          <w:rFonts w:ascii="cwTeXKai" w:hAnsi="cwTeXKai" w:eastAsia="cwTeXKai"/>
          <w:b w:val="0"/>
          <w:color w:val="B48C3C"/>
          <w:sz w:val="22"/>
        </w:rPr>
        <w:t xml:space="preserve">  ^刑事訴訟法 — 全國法規資料庫</w:t>
      </w:r>
    </w:p>
    <w:p>
      <w:r>
        <w:rPr>
          <w:rFonts w:ascii="cwTeXKai" w:hAnsi="cwTeXKai" w:eastAsia="cwTeXKai"/>
          <w:b w:val="0"/>
          <w:color w:val="B48C3C"/>
          <w:sz w:val="22"/>
        </w:rPr>
        <w:t xml:space="preserve">  ^相關判決 — 司法院法學資料檢索系統</w:t>
      </w:r>
    </w:p>
    <w:p>
      <w:r>
        <w:rPr>
          <w:rFonts w:ascii="cwTeXKai" w:hAnsi="cwTeXKai" w:eastAsia="cwTeXKai"/>
          <w:b w:val="0"/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wTeXKai" w:hAnsi="cwTeXKai" w:eastAsia="cwTeXKai"/>
          <w:b/>
          <w:color w:val="8C8C8C"/>
          <w:sz w:val="24"/>
        </w:rPr>
        <w:t>免責聲明</w:t>
      </w:r>
    </w:p>
    <w:p>
      <w:r>
        <w:rPr>
          <w:rFonts w:ascii="cwTeXKai" w:hAnsi="cwTeXKai" w:eastAsia="cwTeXKai"/>
          <w:b w:val="0"/>
          <w:color w:val="8C8C8C"/>
          <w:sz w:val="22"/>
        </w:rPr>
        <w:t>本文由智研法律 AI 系統生成，僅供法律知識參考，不構成具體法律意見。以全國法規資料庫最新版本為準。</w:t>
      </w:r>
    </w:p>
    <w:p>
      <w:pPr>
        <w:jc w:val="center"/>
      </w:pPr>
      <w:r>
        <w:rPr>
          <w:rFonts w:ascii="cwTeXKai" w:hAnsi="cwTeXKai" w:eastAsia="cwTeXKai"/>
          <w:b w:val="0"/>
          <w:color w:val="8C8C8C"/>
          <w:sz w:val="22"/>
        </w:rPr>
        <w:t>2026-07-07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560" w:lineRule="exact"/>
    </w:pPr>
    <w:rPr>
      <w:rFonts w:ascii="cwTeXKai" w:hAnsi="cwTeXKai" w:eastAsia="cwTeXKa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