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毒品危害防制條例　新舊條文對照表</w:t>
      </w:r>
    </w:p>
    <w:p>
      <w:pPr>
        <w:jc w:val="center"/>
      </w:pPr>
      <w:r>
        <w:rPr>
          <w:rFonts w:ascii="標楷體" w:hAnsi="標楷體" w:eastAsia="標楷體"/>
          <w:color w:val="666666"/>
          <w:sz w:val="20"/>
        </w:rPr>
        <w:t>新版 2022-05-04　↔　舊版 （歷史版本）　·　異動 0 條</w:t>
      </w:r>
    </w:p>
    <w:p>
      <w:r>
        <w:rPr>
          <w:color w:val="666666"/>
          <w:sz w:val="18"/>
        </w:rPr>
        <w:t>修正文號：中華民國一百十一年五月四日總統華總一義字第 11100037511  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  <w:gridCol w:w="1984"/>
      </w:tblGrid>
      <w:tr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修正條文（新）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現行條文（舊）</w:t>
            </w:r>
          </w:p>
        </w:tc>
        <w:tc>
          <w:tcPr>
            <w:tcW w:type="dxa" w:w="3402"/>
            <w:shd w:fill="F2F2F2" w:val="clear"/>
          </w:tcPr>
          <w:p>
            <w:pPr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備註</w:t>
            </w:r>
          </w:p>
        </w:tc>
      </w:tr>
    </w:tbl>
    <w:p/>
    <w:p>
      <w:r>
        <w:rPr>
          <w:b/>
          <w:sz w:val="18"/>
        </w:rPr>
        <w:t>參考來源：</w:t>
      </w:r>
      <w:r>
        <w:rPr>
          <w:color w:val="333399"/>
          <w:sz w:val="18"/>
        </w:rPr>
        <w:br/>
        <w:t>全國法規資料庫：https://law.moj.gov.tw/LawClass/LawAll.aspx?pcode=C0000008</w:t>
      </w:r>
      <w:r>
        <w:rPr>
          <w:color w:val="333399"/>
          <w:sz w:val="18"/>
        </w:rPr>
        <w:br/>
        <w:t>沿革：https://law.moj.gov.tw/LawClass/LawHistory.aspx?pcode=C0000008</w:t>
      </w:r>
    </w:p>
    <w:p>
      <w:pPr>
        <w:jc w:val="center"/>
      </w:pPr>
      <w:r>
        <w:rPr>
          <w:rFonts w:ascii="標楷體" w:hAnsi="標楷體" w:eastAsia="標楷體"/>
          <w:color w:val="999999"/>
          <w:sz w:val="16"/>
        </w:rPr>
        <w:t>本對照表僅供參考，不構成法律意見。如有疑義請以全國法規資料庫最新版本為準。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