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eastAsia="標楷體"/>
          <w:b/>
          <w:bCs/>
          <w:spacing w:val="240"/>
          <w:sz w:val="44"/>
          <w:szCs w:val="44"/>
        </w:rPr>
        <w:t xml:space="preserve">內部風險註記</w:t>
      </w:r>
    </w:p>
    <w:p>
      <w:pPr>
        <w:spacing w:after="300"/>
        <w:jc w:val="center"/>
      </w:pPr>
      <w:r>
        <w:rPr>
          <w:rFonts w:ascii="Times New Roman" w:eastAsia="標楷體"/>
          <w:b/>
          <w:bCs/>
          <w:sz w:val="26"/>
          <w:szCs w:val="26"/>
        </w:rPr>
        <w:t xml:space="preserve">(僅供貸與人自存參考,切勿交付借款人)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本註記對應「金錢消費借貸契約書」各條款,標示風險燈號:綠燈(低風險)、黃燈(中風險)、紅燈(高風險)。</w:t>
      </w:r>
    </w:p>
    <w:p>
      <w:pPr>
        <w:shd w:fill="EFEFEF" w:val="clear"/>
        <w:spacing w:after="100" w:before="28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第二條(借款之交付)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風險等級:</w:t>
      </w:r>
      <w:r>
        <w:rPr>
          <w:rFonts w:ascii="Times New Roman" w:eastAsia="標楷體"/>
          <w:b/>
          <w:bCs/>
        </w:rPr>
        <w:t xml:space="preserve">【綠燈|低風險】</w:t>
      </w:r>
      <w:r>
        <w:rPr>
          <w:rFonts w:ascii="Times New Roman" w:eastAsia="標楷體"/>
        </w:rPr>
        <w:t xml:space="preserve">——但為全約最關鍵條款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理由:</w:t>
      </w:r>
      <w:r>
        <w:rPr>
          <w:rFonts w:ascii="Times New Roman" w:eastAsia="標楷體"/>
        </w:rPr>
        <w:t xml:space="preserve">依民法第四百七十四條第一項,消費借貸為要物契約,金錢實際交付後契約始生效力。實務上借貸糾紛最常見的敗訴原因,是貸與人只有借據卻無法證明「錢確實交付」。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實務陷阱:</w:t>
      </w:r>
      <w:r>
        <w:rPr>
          <w:rFonts w:ascii="Times New Roman" w:eastAsia="標楷體"/>
        </w:rPr>
        <w:t xml:space="preserve">以現金交付且無收據者,訴訟上須另行舉證交付事實,難度極高。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建議補強:</w:t>
      </w:r>
      <w:r>
        <w:rPr>
          <w:rFonts w:ascii="Times New Roman" w:eastAsia="標楷體"/>
        </w:rPr>
        <w:t xml:space="preserve">務必以銀行匯款交付並保留匯款單據,匯款備註欄可註明「借款」。第二條第三項要求借款人確認收訖,即是為了補強交付證據。</w:t>
      </w:r>
    </w:p>
    <w:p>
      <w:pPr>
        <w:shd w:fill="EFEFEF" w:val="clear"/>
        <w:spacing w:after="100" w:before="28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第三條(無息約定)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風險等級:</w:t>
      </w:r>
      <w:r>
        <w:rPr>
          <w:rFonts w:ascii="Times New Roman" w:eastAsia="標楷體"/>
          <w:b/>
          <w:bCs/>
        </w:rPr>
        <w:t xml:space="preserve">【綠燈|低風險】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理由:</w:t>
      </w:r>
      <w:r>
        <w:rPr>
          <w:rFonts w:ascii="Times New Roman" w:eastAsia="標楷體"/>
        </w:rPr>
        <w:t xml:space="preserve">利息本得由當事人自由約定,約定無息於法無違。明文寫出「無息」可避免日後就有無利息約定發生爭執。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注意:</w:t>
      </w:r>
      <w:r>
        <w:rPr>
          <w:rFonts w:ascii="Times New Roman" w:eastAsia="標楷體"/>
        </w:rPr>
        <w:t xml:space="preserve">無息不影響遲延利息。遲延利息係法定損害賠償(民法第二百三十三條第一項),與約定利息係屬二事,故第六條仍可請求年息百分之五。</w:t>
      </w:r>
    </w:p>
    <w:p>
      <w:pPr>
        <w:shd w:fill="EFEFEF" w:val="clear"/>
        <w:spacing w:after="100" w:before="28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第四條(清償期日)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風險等級:</w:t>
      </w:r>
      <w:r>
        <w:rPr>
          <w:rFonts w:ascii="Times New Roman" w:eastAsia="標楷體"/>
          <w:b/>
          <w:bCs/>
        </w:rPr>
        <w:t xml:space="preserve">【黃燈|中風險】</w:t>
      </w:r>
      <w:r>
        <w:rPr>
          <w:rFonts w:ascii="Times New Roman" w:eastAsia="標楷體"/>
        </w:rPr>
        <w:t xml:space="preserve">——取決於是否確實填載日期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理由:</w:t>
      </w:r>
      <w:r>
        <w:rPr>
          <w:rFonts w:ascii="Times New Roman" w:eastAsia="標楷體"/>
        </w:rPr>
        <w:t xml:space="preserve">如漏未填寫清償期日,依民法第四百七十八條,貸與人須先定一個月以上之相當期限催告,始得請求返還,程序上多一道門檻。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建議補強:</w:t>
      </w:r>
      <w:r>
        <w:rPr>
          <w:rFonts w:ascii="Times New Roman" w:eastAsia="標楷體"/>
        </w:rPr>
        <w:t xml:space="preserve">清償期日務必填寫具體日期,勿留空白。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時效提醒:</w:t>
      </w:r>
      <w:r>
        <w:rPr>
          <w:rFonts w:ascii="Times New Roman" w:eastAsia="標楷體"/>
        </w:rPr>
        <w:t xml:space="preserve">借款返還請求權之消滅時效為十五年(民法第一百二十五條),自清償期屆至時起算。</w:t>
      </w:r>
    </w:p>
    <w:p>
      <w:pPr>
        <w:shd w:fill="EFEFEF" w:val="clear"/>
        <w:spacing w:after="100" w:before="28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第五條第三項(期限利益喪失)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風險等級:</w:t>
      </w:r>
      <w:r>
        <w:rPr>
          <w:rFonts w:ascii="Times New Roman" w:eastAsia="標楷體"/>
          <w:b/>
          <w:bCs/>
        </w:rPr>
        <w:t xml:space="preserve">【綠燈|低風險】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理由:</w:t>
      </w:r>
      <w:r>
        <w:rPr>
          <w:rFonts w:ascii="Times New Roman" w:eastAsia="標楷體"/>
        </w:rPr>
        <w:t xml:space="preserve">分期清償時之加速條款,實務普遍承認其效力。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備案:</w:t>
      </w:r>
      <w:r>
        <w:rPr>
          <w:rFonts w:ascii="Times New Roman" w:eastAsia="標楷體"/>
        </w:rPr>
        <w:t xml:space="preserve">若借款人對「遲延十四日即喪失期限利益」有異議,可放寬為「經甲方定七日以上期限催告仍未給付者」。</w:t>
      </w:r>
    </w:p>
    <w:p>
      <w:pPr>
        <w:shd w:fill="EFEFEF" w:val="clear"/>
        <w:spacing w:after="100" w:before="280" w:line="360"/>
      </w:pPr>
      <w:r>
        <w:rPr>
          <w:rFonts w:ascii="Times New Roman" w:eastAsia="標楷體"/>
          <w:b/>
          <w:bCs/>
          <w:sz w:val="26"/>
          <w:szCs w:val="26"/>
        </w:rPr>
        <w:t xml:space="preserve">整體補強建議(視雙方信任程度選用)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一、本票擔保:</w:t>
      </w:r>
      <w:r>
        <w:rPr>
          <w:rFonts w:ascii="Times New Roman" w:eastAsia="標楷體"/>
        </w:rPr>
        <w:t xml:space="preserve">可請借款人簽發同額本票乙紙交貸與人收執,載明「免除作成拒絕證書」。屆期不還時,得聲請本票裁定強制執行(票據法第一百二十三條),毋庸提起民事訴訟,程序快速。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二、保證人:</w:t>
      </w:r>
      <w:r>
        <w:rPr>
          <w:rFonts w:ascii="Times New Roman" w:eastAsia="標楷體"/>
        </w:rPr>
        <w:t xml:space="preserve">金額雖非鉅大,如對借款人資力有疑慮,可增列連帶保證人條款。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三、公證:</w:t>
      </w:r>
      <w:r>
        <w:rPr>
          <w:rFonts w:ascii="Times New Roman" w:eastAsia="標楷體"/>
        </w:rPr>
        <w:t xml:space="preserve">可持契約至公證人處作成公證書並載明逕受強制執行(公證法第十三條第一項第一款),屆期不還可直接聲請強制執行。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四、贈與稅疑慮:</w:t>
      </w:r>
      <w:r>
        <w:rPr>
          <w:rFonts w:ascii="Times New Roman" w:eastAsia="標楷體"/>
        </w:rPr>
        <w:t xml:space="preserve">親屬間無息借貸如金額鉅大且長期未還,可能遭國稅局認定為贈與;本件僅三十萬元,距每年贈與免稅額尚遠,風險甚低,惟仍建議保留借貸與還款之金流紀錄。</w:t>
      </w:r>
    </w:p>
    <w:p>
      <w:pPr>
        <w:shd w:fill="EFEFEF" w:val="clear"/>
        <w:spacing w:after="100" w:before="280" w:line="360"/>
      </w:pPr>
      <w:r>
        <w:rPr>
          <w:rFonts w:ascii="Times New Roman" w:eastAsia="標楷體"/>
          <w:b/>
          <w:bCs/>
          <w:sz w:val="26"/>
          <w:szCs w:val="26"/>
        </w:rPr>
        <w:t xml:space="preserve">整體風險摘要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整體風險等級:</w:t>
      </w:r>
      <w:r>
        <w:rPr>
          <w:rFonts w:ascii="Times New Roman" w:eastAsia="標楷體"/>
          <w:b/>
          <w:bCs/>
        </w:rPr>
        <w:t xml:space="preserve">【綠燈】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主要紅燈條款:</w:t>
      </w:r>
      <w:r>
        <w:rPr>
          <w:rFonts w:ascii="Times New Roman" w:eastAsia="標楷體"/>
        </w:rPr>
        <w:t xml:space="preserve">無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主要黃燈條款:</w:t>
      </w:r>
      <w:r>
        <w:rPr>
          <w:rFonts w:ascii="Times New Roman" w:eastAsia="標楷體"/>
        </w:rPr>
        <w:t xml:space="preserve">第四條(清償期日務必填載,勿留空白)</w:t>
      </w:r>
    </w:p>
    <w:p>
      <w:pPr>
        <w:spacing w:after="60" w:line="340"/>
        <w:ind w:left="360" w:hanging="0"/>
        <w:jc w:val="both"/>
      </w:pPr>
      <w:r>
        <w:rPr>
          <w:rFonts w:ascii="Times New Roman" w:eastAsia="標楷體"/>
          <w:b/>
          <w:bCs/>
        </w:rPr>
        <w:t xml:space="preserve">簽約前最後檢查:</w:t>
      </w:r>
      <w:r>
        <w:rPr>
          <w:rFonts w:ascii="Times New Roman" w:eastAsia="標楷體"/>
        </w:rPr>
        <w:t xml:space="preserve">(1)空白處全數填寫完畢 (2)以匯款交付並保留單據 (3)雙方親自簽名並核對身分證件 (4)一式兩份各執一份</w:t>
      </w:r>
    </w:p>
    <w:p>
      <w:pPr>
        <w:spacing w:after="300"/>
      </w:pPr>
    </w:p>
    <w:p>
      <w:pPr>
        <w:pBdr>
          <w:top w:val="single" w:color="999999" w:sz="4"/>
        </w:pBdr>
        <w:spacing w:line="300"/>
      </w:pPr>
    </w:p>
    <w:p>
      <w:pPr>
        <w:spacing w:after="60" w:line="360"/>
        <w:jc w:val="both"/>
      </w:pPr>
      <w:r>
        <w:rPr>
          <w:rFonts w:ascii="Times New Roman" w:eastAsia="標楷體"/>
          <w:sz w:val="22"/>
          <w:szCs w:val="22"/>
        </w:rPr>
        <w:t xml:space="preserve">※ 本草稿由 AI 產出,不構成正式法律意見。實際使用前請委請執業律師審閱。</w:t>
      </w:r>
    </w:p>
    <w:p>
      <w:pPr>
        <w:spacing w:after="60" w:line="360"/>
        <w:jc w:val="both"/>
      </w:pPr>
      <w:r>
        <w:rPr>
          <w:rFonts w:ascii="Times New Roman" w:eastAsia="標楷體"/>
          <w:sz w:val="22"/>
          <w:szCs w:val="22"/>
        </w:rPr>
        <w:t xml:space="preserve">法條請至「全國法規資料庫」查證:https://law.moj.gov.tw/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2026-07-18T03:52:21.720Z</dcterms:created>
  <dcterms:modified xsi:type="dcterms:W3CDTF">2026-07-18T03:52:21.720Z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