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Название:</w:t>
      </w:r>
      <w:r>
        <w:t xml:space="preserve"> </w:t>
      </w:r>
      <w:r>
        <w:t xml:space="preserve">Исследование Самоорганизующейся Трёхмерной Нейросети с Адаптивными Порогами и Коактивационным Обучением</w:t>
      </w:r>
    </w:p>
    <w:p>
      <w:r>
        <w:pict>
          <v:rect style="width:0;height:1.5pt" o:hralign="center" o:hrstd="t" o:hr="t"/>
        </w:pict>
      </w:r>
    </w:p>
    <w:bookmarkStart w:id="20" w:name="аннотация"/>
    <w:p>
      <w:pPr>
        <w:pStyle w:val="Heading3"/>
      </w:pPr>
      <w:r>
        <w:t xml:space="preserve">Аннотация</w:t>
      </w:r>
    </w:p>
    <w:p>
      <w:pPr>
        <w:pStyle w:val="FirstParagraph"/>
      </w:pPr>
      <w:r>
        <w:t xml:space="preserve">В данной работе представлена реализация экспериментальной трёхмерной нейросети, в которой реализованы элементы нейропластичности, пространственного взаимодействия и сигналов различной модальности. Основу составляет решётка нейронов, каждый из которых способен адаптировать порог активации на основе статистики совместной активации с соседями. Предложенная модель предоставляет простую, но мощную основу для симуляции когнитивных процессов, включая ассоциативное обучение и временную динамику сигналов.</w:t>
      </w:r>
    </w:p>
    <w:p>
      <w:r>
        <w:pict>
          <v:rect style="width:0;height:1.5pt" o:hralign="center" o:hrstd="t" o:hr="t"/>
        </w:pict>
      </w:r>
    </w:p>
    <w:bookmarkEnd w:id="20"/>
    <w:bookmarkStart w:id="21" w:name="введение"/>
    <w:p>
      <w:pPr>
        <w:pStyle w:val="Heading3"/>
      </w:pPr>
      <w:r>
        <w:t xml:space="preserve">Введение</w:t>
      </w:r>
    </w:p>
    <w:p>
      <w:pPr>
        <w:pStyle w:val="FirstParagraph"/>
      </w:pPr>
      <w:r>
        <w:t xml:space="preserve">Современные искусственные нейросети успешно применяются в различных задачах, однако зачастую они теряют связь с биологическим прототипом. В данном исследовании делается попытка воссоздать минималистичную, но гибкую нейросетевую архитектуру, приближенную к нейрофизиологическим принципам. В отличие от стандартных feedforward-структур, предложенная модель строится как 3D-решётка, где нейроны взаимодействуют со своими соседями, а обучение происходит на основе локальной коактивации.</w:t>
      </w:r>
    </w:p>
    <w:p>
      <w:r>
        <w:pict>
          <v:rect style="width:0;height:1.5pt" o:hralign="center" o:hrstd="t" o:hr="t"/>
        </w:pict>
      </w:r>
    </w:p>
    <w:bookmarkEnd w:id="21"/>
    <w:bookmarkStart w:id="25" w:name="архитектура-сети"/>
    <w:p>
      <w:pPr>
        <w:pStyle w:val="Heading3"/>
      </w:pPr>
      <w:r>
        <w:t xml:space="preserve">Архитектура Сети</w:t>
      </w:r>
    </w:p>
    <w:bookmarkStart w:id="22" w:name="нейроны"/>
    <w:p>
      <w:pPr>
        <w:pStyle w:val="Heading4"/>
      </w:pPr>
      <w:r>
        <w:t xml:space="preserve">Нейроны</w:t>
      </w:r>
    </w:p>
    <w:p>
      <w:pPr>
        <w:pStyle w:val="FirstParagraph"/>
      </w:pPr>
      <w:r>
        <w:t xml:space="preserve">Каждый нейрон характеризуется:</w:t>
      </w:r>
    </w:p>
    <w:p>
      <w:pPr>
        <w:pStyle w:val="Compact"/>
        <w:numPr>
          <w:ilvl w:val="0"/>
          <w:numId w:val="1001"/>
        </w:numPr>
      </w:pPr>
      <w:r>
        <w:t xml:space="preserve">Положением в 3D-сетке</w:t>
      </w:r>
    </w:p>
    <w:p>
      <w:pPr>
        <w:pStyle w:val="Compact"/>
        <w:numPr>
          <w:ilvl w:val="0"/>
          <w:numId w:val="1001"/>
        </w:numPr>
      </w:pPr>
      <w:r>
        <w:t xml:space="preserve">Списком связей с соседями</w:t>
      </w:r>
    </w:p>
    <w:p>
      <w:pPr>
        <w:pStyle w:val="Compact"/>
        <w:numPr>
          <w:ilvl w:val="0"/>
          <w:numId w:val="1001"/>
        </w:numPr>
      </w:pPr>
      <w:r>
        <w:t xml:space="preserve">Индивидуальными порогами (barriers) для каждой связи</w:t>
      </w:r>
    </w:p>
    <w:p>
      <w:pPr>
        <w:pStyle w:val="Compact"/>
        <w:numPr>
          <w:ilvl w:val="0"/>
          <w:numId w:val="1001"/>
        </w:numPr>
      </w:pPr>
      <w:r>
        <w:t xml:space="preserve">Историей сигналов и счётчиком совместной активации</w:t>
      </w:r>
    </w:p>
    <w:p>
      <w:pPr>
        <w:pStyle w:val="FirstParagraph"/>
      </w:pPr>
      <w:r>
        <w:t xml:space="preserve">Нейрон срабатывает, если сумма сигналов от мыслеформы превышает заданный порог: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if 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≥</m:t>
          </m:r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⇒</m:t>
          </m:r>
          <m:r>
            <m:rPr>
              <m:nor/>
              <m:sty m:val="p"/>
            </m:rPr>
            <m:t>fire</m:t>
          </m:r>
          <m:r>
            <m:rPr>
              <m:sty m:val="p"/>
            </m:rPr>
            <m:t>,</m:t>
          </m:r>
          <m:r>
            <m:t> 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←</m:t>
          </m:r>
          <m:r>
            <m:t>0</m:t>
          </m:r>
        </m:oMath>
      </m:oMathPara>
    </w:p>
    <w:bookmarkEnd w:id="22"/>
    <w:bookmarkStart w:id="23" w:name="связи-и-коактивация"/>
    <w:p>
      <w:pPr>
        <w:pStyle w:val="Heading4"/>
      </w:pPr>
      <w:r>
        <w:t xml:space="preserve">Связи и Коактивация</w:t>
      </w:r>
    </w:p>
    <w:p>
      <w:pPr>
        <w:pStyle w:val="FirstParagraph"/>
      </w:pPr>
      <w:r>
        <w:t xml:space="preserve">Каждая связь имеет счётчик коактивации (C_{i,j}), который увеличивается, если соседние нейроны активировались в пределах временного окна: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j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d>
                      <m:dPr>
                        <m:begChr m:val="|"/>
                        <m:sepChr m:val=""/>
                        <m:endChr m:val="|"/>
                        <m:grow/>
                      </m:dPr>
                      <m:e>
                        <m:r>
                          <m:t>s</m:t>
                        </m:r>
                        <m:r>
                          <m:t>t</m:t>
                        </m:r>
                        <m:r>
                          <m:t>e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r>
                          <m:t>t</m:t>
                        </m:r>
                        <m:r>
                          <m:t>e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w</m:t>
                    </m:r>
                    <m:r>
                      <m:t>i</m:t>
                    </m:r>
                    <m:r>
                      <m:t>n</m:t>
                    </m:r>
                    <m:r>
                      <m:t>d</m:t>
                    </m:r>
                    <m:r>
                      <m:t>o</m:t>
                    </m:r>
                    <m:r>
                      <m:t>w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j</m:t>
                            </m:r>
                          </m:sub>
                        </m:sSub>
                        <m:d>
                          <m:dPr>
                            <m:begChr m:val="("/>
                            <m:sepChr m:val=""/>
                            <m:endChr m:val=")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y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иначе</m:t>
                    </m:r>
                  </m:e>
                </m:mr>
              </m:m>
            </m:e>
          </m:d>
        </m:oMath>
      </m:oMathPara>
    </w:p>
    <w:bookmarkEnd w:id="23"/>
    <w:bookmarkStart w:id="24" w:name="адаптация-порогов"/>
    <w:p>
      <w:pPr>
        <w:pStyle w:val="Heading4"/>
      </w:pPr>
      <w:r>
        <w:t xml:space="preserve">Адаптация Порогов</w:t>
      </w:r>
    </w:p>
    <w:p>
      <w:pPr>
        <w:pStyle w:val="FirstParagraph"/>
      </w:pPr>
      <w:r>
        <w:t xml:space="preserve">На основе коактиваций осуществляется Hebbian-подобное обучение: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max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η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min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u</m:t>
                        </m:r>
                        <m:r>
                          <m:t>p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min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η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max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d</m:t>
                        </m:r>
                        <m:r>
                          <m:t>o</m:t>
                        </m:r>
                        <m:r>
                          <m:t>w</m:t>
                        </m:r>
                        <m: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источники-сигналов-рецепторы"/>
    <w:p>
      <w:pPr>
        <w:pStyle w:val="Heading3"/>
      </w:pPr>
      <w:r>
        <w:t xml:space="preserve">Источники Сигналов (Рецепторы)</w:t>
      </w:r>
    </w:p>
    <w:p>
      <w:pPr>
        <w:pStyle w:val="FirstParagraph"/>
      </w:pPr>
      <w:r>
        <w:t xml:space="preserve">Входные данные поступают в сеть через рецепторы четырёх типов: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RGBReceptor</w:t>
      </w:r>
      <w:r>
        <w:t xml:space="preserve"> </w:t>
      </w:r>
      <w:r>
        <w:t xml:space="preserve">— визуальные сигналы (цветовые значения)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TextReceptor</w:t>
      </w:r>
      <w:r>
        <w:t xml:space="preserve"> </w:t>
      </w:r>
      <w:r>
        <w:t xml:space="preserve">— текстовая информация, закодированная хеш-функцией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SoundReceptor</w:t>
      </w:r>
      <w:r>
        <w:t xml:space="preserve"> </w:t>
      </w:r>
      <w:r>
        <w:t xml:space="preserve">— аудиосигналы (амплитудные колебания)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MemoryReceptor</w:t>
      </w:r>
      <w:r>
        <w:t xml:space="preserve"> </w:t>
      </w:r>
      <w:r>
        <w:t xml:space="preserve">— заготовка под внутренние воспоминания или feedback</w:t>
      </w:r>
    </w:p>
    <w:p>
      <w:pPr>
        <w:pStyle w:val="FirstParagraph"/>
      </w:pPr>
      <w:r>
        <w:t xml:space="preserve">Каждый рецептор формирует сигнал с амплитудой (A</w:t>
      </w:r>
      <w:r>
        <w:t xml:space="preserve"> </w:t>
      </w:r>
      <w:r>
        <w:t xml:space="preserve">), направляемый в центральный нейрон сети.</w:t>
      </w:r>
    </w:p>
    <w:p>
      <w:r>
        <w:pict>
          <v:rect style="width:0;height:1.5pt" o:hralign="center" o:hrstd="t" o:hr="t"/>
        </w:pict>
      </w:r>
    </w:p>
    <w:bookmarkEnd w:id="26"/>
    <w:bookmarkStart w:id="27" w:name="алгоритм-обновления"/>
    <w:p>
      <w:pPr>
        <w:pStyle w:val="Heading3"/>
      </w:pPr>
      <w:r>
        <w:t xml:space="preserve">Алгоритм Обновления</w:t>
      </w:r>
    </w:p>
    <w:p>
      <w:pPr>
        <w:pStyle w:val="FirstParagraph"/>
      </w:pPr>
      <w:r>
        <w:t xml:space="preserve">Каждый такт симуляции (шаг):</w:t>
      </w:r>
    </w:p>
    <w:p>
      <w:pPr>
        <w:pStyle w:val="Compact"/>
        <w:numPr>
          <w:ilvl w:val="0"/>
          <w:numId w:val="1003"/>
        </w:numPr>
      </w:pPr>
      <w:r>
        <w:t xml:space="preserve">Генерируются сигналы от всех рецепторов</w:t>
      </w:r>
    </w:p>
    <w:p>
      <w:pPr>
        <w:pStyle w:val="Compact"/>
        <w:numPr>
          <w:ilvl w:val="0"/>
          <w:numId w:val="1003"/>
        </w:numPr>
      </w:pPr>
      <w:r>
        <w:t xml:space="preserve">Сигналы передаются в центральный нейрон</w:t>
      </w:r>
    </w:p>
    <w:p>
      <w:pPr>
        <w:pStyle w:val="Compact"/>
        <w:numPr>
          <w:ilvl w:val="0"/>
          <w:numId w:val="1003"/>
        </w:numPr>
      </w:pPr>
      <w:r>
        <w:t xml:space="preserve">Распространение сигналов по соседям</w:t>
      </w:r>
    </w:p>
    <w:p>
      <w:pPr>
        <w:pStyle w:val="Compact"/>
        <w:numPr>
          <w:ilvl w:val="0"/>
          <w:numId w:val="1003"/>
        </w:numPr>
      </w:pPr>
      <w:r>
        <w:t xml:space="preserve">Обновление счётчиков коактивации</w:t>
      </w:r>
    </w:p>
    <w:p>
      <w:pPr>
        <w:pStyle w:val="Compact"/>
        <w:numPr>
          <w:ilvl w:val="0"/>
          <w:numId w:val="1003"/>
        </w:numPr>
      </w:pPr>
      <w:r>
        <w:t xml:space="preserve">Каждые (T = 100) шагов — адаптация порогов</w:t>
      </w:r>
    </w:p>
    <w:p>
      <w:r>
        <w:pict>
          <v:rect style="width:0;height:1.5pt" o:hralign="center" o:hrstd="t" o:hr="t"/>
        </w:pict>
      </w:r>
    </w:p>
    <w:bookmarkEnd w:id="27"/>
    <w:bookmarkStart w:id="28" w:name="эксперименты-и-будущая-работа"/>
    <w:p>
      <w:pPr>
        <w:pStyle w:val="Heading3"/>
      </w:pPr>
      <w:r>
        <w:t xml:space="preserve">Эксперименты и Будущая Работа</w:t>
      </w:r>
    </w:p>
    <w:p>
      <w:pPr>
        <w:pStyle w:val="FirstParagraph"/>
      </w:pPr>
      <w:r>
        <w:t xml:space="preserve">На данный момент модель демонстрирует устойчивую активационную динамику и устойчивое обучение при простых стимулах. В перспективе планируется:</w:t>
      </w:r>
    </w:p>
    <w:p>
      <w:pPr>
        <w:pStyle w:val="Compact"/>
        <w:numPr>
          <w:ilvl w:val="0"/>
          <w:numId w:val="1004"/>
        </w:numPr>
      </w:pPr>
      <w:r>
        <w:t xml:space="preserve">Визуализация активации нейронов в реальном времени</w:t>
      </w:r>
    </w:p>
    <w:p>
      <w:pPr>
        <w:pStyle w:val="Compact"/>
        <w:numPr>
          <w:ilvl w:val="0"/>
          <w:numId w:val="1004"/>
        </w:numPr>
      </w:pPr>
      <w:r>
        <w:t xml:space="preserve">Поддержка reward-сигналов (RL)</w:t>
      </w:r>
    </w:p>
    <w:p>
      <w:pPr>
        <w:pStyle w:val="Compact"/>
        <w:numPr>
          <w:ilvl w:val="0"/>
          <w:numId w:val="1004"/>
        </w:numPr>
      </w:pPr>
      <w:r>
        <w:t xml:space="preserve">Упрощённое сохранение и загрузка состояния сети</w:t>
      </w:r>
    </w:p>
    <w:p>
      <w:pPr>
        <w:pStyle w:val="Compact"/>
        <w:numPr>
          <w:ilvl w:val="0"/>
          <w:numId w:val="1004"/>
        </w:numPr>
      </w:pPr>
      <w:r>
        <w:t xml:space="preserve">Динамическое формирование новых связей</w:t>
      </w:r>
    </w:p>
    <w:p>
      <w:pPr>
        <w:pStyle w:val="Compact"/>
        <w:numPr>
          <w:ilvl w:val="0"/>
          <w:numId w:val="1004"/>
        </w:numPr>
      </w:pPr>
      <w:r>
        <w:t xml:space="preserve">Масштабирование до кластеров / модулей</w:t>
      </w:r>
    </w:p>
    <w:p>
      <w:r>
        <w:pict>
          <v:rect style="width:0;height:1.5pt" o:hralign="center" o:hrstd="t" o:hr="t"/>
        </w:pict>
      </w:r>
    </w:p>
    <w:bookmarkEnd w:id="28"/>
    <w:bookmarkStart w:id="29" w:name="заключение"/>
    <w:p>
      <w:pPr>
        <w:pStyle w:val="Heading3"/>
      </w:pPr>
      <w:r>
        <w:t xml:space="preserve">Заключение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rPr>
          <w:rStyle w:val="VerbatimChar"/>
        </w:rPr>
        <w:t xml:space="preserve">Network3D</w:t>
      </w:r>
      <w:r>
        <w:t xml:space="preserve"> </w:t>
      </w:r>
      <w:r>
        <w:t xml:space="preserve">представляет собой шаг в сторону нейровычислительных моделей, ориентированных не только на задачу, но и на структуру. Простота реализации сочетается с потенциалом для сложного поведения. Этот подход может быть полезен как в когнитивных симуляциях, так и в исследованиях архитектур с элементами искусственного сознания.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2025-07-10T15:16:33Z</dcterms:created>
  <dcterms:modified xsi:type="dcterms:W3CDTF">2025-07-10T15:16:33Z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