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Classification and Retention Policy</w:t>
      </w:r>
    </w:p>
    <w:p>
      <w:pPr>
        <w:pStyle w:val="Heading1"/>
      </w:pPr>
      <w:r>
        <w:t>1. Introduction</w:t>
      </w:r>
    </w:p>
    <w:p>
      <w:r>
        <w:t>This policy outlines the classification, retention, and disposition rules for digital documents managed within the organization. It ensures compliance with data governance, privacy, and operational guidelines.</w:t>
      </w:r>
    </w:p>
    <w:p>
      <w:pPr>
        <w:pStyle w:val="Heading1"/>
      </w:pPr>
      <w:r>
        <w:t>2. Classification Categories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 Documents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Contains employee data, contracts, performance records</w:t>
            </w:r>
          </w:p>
        </w:tc>
        <w:tc>
          <w:tcPr>
            <w:tcW w:type="dxa" w:w="2880"/>
          </w:tcPr>
          <w:p>
            <w:r>
              <w:t>Offer letters, appraisals</w:t>
            </w:r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Financial transactions, billing, audit records</w:t>
            </w:r>
          </w:p>
        </w:tc>
        <w:tc>
          <w:tcPr>
            <w:tcW w:type="dxa" w:w="2880"/>
          </w:tcPr>
          <w:p>
            <w:r>
              <w:t>Invoices, audit reports</w:t>
            </w:r>
          </w:p>
        </w:tc>
      </w:tr>
      <w:tr>
        <w:tc>
          <w:tcPr>
            <w:tcW w:type="dxa" w:w="2880"/>
          </w:tcPr>
          <w:p>
            <w:r>
              <w:t>Legal</w:t>
            </w:r>
          </w:p>
        </w:tc>
        <w:tc>
          <w:tcPr>
            <w:tcW w:type="dxa" w:w="2880"/>
          </w:tcPr>
          <w:p>
            <w:r>
              <w:t>Legal contracts, compliance forms, litigation documents</w:t>
            </w:r>
          </w:p>
        </w:tc>
        <w:tc>
          <w:tcPr>
            <w:tcW w:type="dxa" w:w="2880"/>
          </w:tcPr>
          <w:p>
            <w:r>
              <w:t>NDAs, contracts, legal opinions</w:t>
            </w:r>
          </w:p>
        </w:tc>
      </w:tr>
      <w:tr>
        <w:tc>
          <w:tcPr>
            <w:tcW w:type="dxa" w:w="2880"/>
          </w:tcPr>
          <w:p>
            <w:r>
              <w:t>Personal</w:t>
            </w:r>
          </w:p>
        </w:tc>
        <w:tc>
          <w:tcPr>
            <w:tcW w:type="dxa" w:w="2880"/>
          </w:tcPr>
          <w:p>
            <w:r>
              <w:t>Contains personally identifiable information (PII)</w:t>
            </w:r>
          </w:p>
        </w:tc>
        <w:tc>
          <w:tcPr>
            <w:tcW w:type="dxa" w:w="2880"/>
          </w:tcPr>
          <w:p>
            <w:r>
              <w:t>Aadhaar, PAN card, resumes</w:t>
            </w:r>
          </w:p>
        </w:tc>
      </w:tr>
      <w:tr>
        <w:tc>
          <w:tcPr>
            <w:tcW w:type="dxa" w:w="2880"/>
          </w:tcPr>
          <w:p>
            <w:r>
              <w:t>Regulatory</w:t>
            </w:r>
          </w:p>
        </w:tc>
        <w:tc>
          <w:tcPr>
            <w:tcW w:type="dxa" w:w="2880"/>
          </w:tcPr>
          <w:p>
            <w:r>
              <w:t>Subject to government regulations, audits, data retention laws</w:t>
            </w:r>
          </w:p>
        </w:tc>
        <w:tc>
          <w:tcPr>
            <w:tcW w:type="dxa" w:w="2880"/>
          </w:tcPr>
          <w:p>
            <w:r>
              <w:t>GST, HIPAA, GDPR compliance forms</w:t>
            </w:r>
          </w:p>
        </w:tc>
      </w:tr>
      <w:tr>
        <w:tc>
          <w:tcPr>
            <w:tcW w:type="dxa" w:w="2880"/>
          </w:tcPr>
          <w:p>
            <w:r>
              <w:t>Public</w:t>
            </w:r>
          </w:p>
        </w:tc>
        <w:tc>
          <w:tcPr>
            <w:tcW w:type="dxa" w:w="2880"/>
          </w:tcPr>
          <w:p>
            <w:r>
              <w:t>Intended for public release</w:t>
            </w:r>
          </w:p>
        </w:tc>
        <w:tc>
          <w:tcPr>
            <w:tcW w:type="dxa" w:w="2880"/>
          </w:tcPr>
          <w:p>
            <w:r>
              <w:t>Brochures, press releases</w:t>
            </w:r>
          </w:p>
        </w:tc>
      </w:tr>
    </w:tbl>
    <w:p>
      <w:pPr>
        <w:pStyle w:val="Heading1"/>
      </w:pPr>
      <w:r>
        <w:t>3. Sensitivity Levels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Level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Public</w:t>
            </w:r>
          </w:p>
        </w:tc>
        <w:tc>
          <w:tcPr>
            <w:tcW w:type="dxa" w:w="4320"/>
          </w:tcPr>
          <w:p>
            <w:r>
              <w:t>Can be shared externally without restrictions</w:t>
            </w:r>
          </w:p>
        </w:tc>
      </w:tr>
      <w:tr>
        <w:tc>
          <w:tcPr>
            <w:tcW w:type="dxa" w:w="4320"/>
          </w:tcPr>
          <w:p>
            <w:r>
              <w:t>Internal</w:t>
            </w:r>
          </w:p>
        </w:tc>
        <w:tc>
          <w:tcPr>
            <w:tcW w:type="dxa" w:w="4320"/>
          </w:tcPr>
          <w:p>
            <w:r>
              <w:t>For internal use only</w:t>
            </w:r>
          </w:p>
        </w:tc>
      </w:tr>
      <w:tr>
        <w:tc>
          <w:tcPr>
            <w:tcW w:type="dxa" w:w="4320"/>
          </w:tcPr>
          <w:p>
            <w:r>
              <w:t>Confidential</w:t>
            </w:r>
          </w:p>
        </w:tc>
        <w:tc>
          <w:tcPr>
            <w:tcW w:type="dxa" w:w="4320"/>
          </w:tcPr>
          <w:p>
            <w:r>
              <w:t>Shared on a need-to-know basis</w:t>
            </w:r>
          </w:p>
        </w:tc>
      </w:tr>
      <w:tr>
        <w:tc>
          <w:tcPr>
            <w:tcW w:type="dxa" w:w="4320"/>
          </w:tcPr>
          <w:p>
            <w:r>
              <w:t>Restricted</w:t>
            </w:r>
          </w:p>
        </w:tc>
        <w:tc>
          <w:tcPr>
            <w:tcW w:type="dxa" w:w="4320"/>
          </w:tcPr>
          <w:p>
            <w:r>
              <w:t>Highly sensitive, access must be tightly controlled</w:t>
            </w:r>
          </w:p>
        </w:tc>
      </w:tr>
    </w:tbl>
    <w:p>
      <w:pPr>
        <w:pStyle w:val="Heading1"/>
      </w:pPr>
      <w:r>
        <w:t>4. Retention &amp; Disposition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Sensitivity</w:t>
            </w:r>
          </w:p>
        </w:tc>
        <w:tc>
          <w:tcPr>
            <w:tcW w:type="dxa" w:w="2160"/>
          </w:tcPr>
          <w:p>
            <w:r>
              <w:t>Retention Period</w:t>
            </w:r>
          </w:p>
        </w:tc>
        <w:tc>
          <w:tcPr>
            <w:tcW w:type="dxa" w:w="2160"/>
          </w:tcPr>
          <w:p>
            <w:r>
              <w:t>Action After Retention</w:t>
            </w:r>
          </w:p>
        </w:tc>
      </w:tr>
      <w:tr>
        <w:tc>
          <w:tcPr>
            <w:tcW w:type="dxa" w:w="2160"/>
          </w:tcPr>
          <w:p>
            <w:r>
              <w:t>HR</w:t>
            </w:r>
          </w:p>
        </w:tc>
        <w:tc>
          <w:tcPr>
            <w:tcW w:type="dxa" w:w="2160"/>
          </w:tcPr>
          <w:p>
            <w:r>
              <w:t>Confidential</w:t>
            </w:r>
          </w:p>
        </w:tc>
        <w:tc>
          <w:tcPr>
            <w:tcW w:type="dxa" w:w="2160"/>
          </w:tcPr>
          <w:p>
            <w:r>
              <w:t>7 years</w:t>
            </w:r>
          </w:p>
        </w:tc>
        <w:tc>
          <w:tcPr>
            <w:tcW w:type="dxa" w:w="2160"/>
          </w:tcPr>
          <w:p>
            <w:r>
              <w:t>Archive</w:t>
            </w:r>
          </w:p>
        </w:tc>
      </w:tr>
      <w:tr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Internal</w:t>
            </w:r>
          </w:p>
        </w:tc>
        <w:tc>
          <w:tcPr>
            <w:tcW w:type="dxa" w:w="2160"/>
          </w:tcPr>
          <w:p>
            <w:r>
              <w:t>5 years</w:t>
            </w:r>
          </w:p>
        </w:tc>
        <w:tc>
          <w:tcPr>
            <w:tcW w:type="dxa" w:w="2160"/>
          </w:tcPr>
          <w:p>
            <w:r>
              <w:t>Delete if no longer needed</w:t>
            </w:r>
          </w:p>
        </w:tc>
      </w:tr>
      <w:tr>
        <w:tc>
          <w:tcPr>
            <w:tcW w:type="dxa" w:w="2160"/>
          </w:tcPr>
          <w:p>
            <w:r>
              <w:t>Legal</w:t>
            </w:r>
          </w:p>
        </w:tc>
        <w:tc>
          <w:tcPr>
            <w:tcW w:type="dxa" w:w="2160"/>
          </w:tcPr>
          <w:p>
            <w:r>
              <w:t>Restricted</w:t>
            </w:r>
          </w:p>
        </w:tc>
        <w:tc>
          <w:tcPr>
            <w:tcW w:type="dxa" w:w="2160"/>
          </w:tcPr>
          <w:p>
            <w:r>
              <w:t>10 years</w:t>
            </w:r>
          </w:p>
        </w:tc>
        <w:tc>
          <w:tcPr>
            <w:tcW w:type="dxa" w:w="2160"/>
          </w:tcPr>
          <w:p>
            <w:r>
              <w:t>Archive</w:t>
            </w:r>
          </w:p>
        </w:tc>
      </w:tr>
      <w:tr>
        <w:tc>
          <w:tcPr>
            <w:tcW w:type="dxa" w:w="2160"/>
          </w:tcPr>
          <w:p>
            <w:r>
              <w:t>Personal</w:t>
            </w:r>
          </w:p>
        </w:tc>
        <w:tc>
          <w:tcPr>
            <w:tcW w:type="dxa" w:w="2160"/>
          </w:tcPr>
          <w:p>
            <w:r>
              <w:t>Confidential</w:t>
            </w:r>
          </w:p>
        </w:tc>
        <w:tc>
          <w:tcPr>
            <w:tcW w:type="dxa" w:w="2160"/>
          </w:tcPr>
          <w:p>
            <w:r>
              <w:t>3 years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</w:tr>
      <w:tr>
        <w:tc>
          <w:tcPr>
            <w:tcW w:type="dxa" w:w="2160"/>
          </w:tcPr>
          <w:p>
            <w:r>
              <w:t>Regulatory</w:t>
            </w:r>
          </w:p>
        </w:tc>
        <w:tc>
          <w:tcPr>
            <w:tcW w:type="dxa" w:w="2160"/>
          </w:tcPr>
          <w:p>
            <w:r>
              <w:t>Restricted</w:t>
            </w:r>
          </w:p>
        </w:tc>
        <w:tc>
          <w:tcPr>
            <w:tcW w:type="dxa" w:w="2160"/>
          </w:tcPr>
          <w:p>
            <w:r>
              <w:t>8 years</w:t>
            </w:r>
          </w:p>
        </w:tc>
        <w:tc>
          <w:tcPr>
            <w:tcW w:type="dxa" w:w="2160"/>
          </w:tcPr>
          <w:p>
            <w:r>
              <w:t>Archive</w:t>
            </w:r>
          </w:p>
        </w:tc>
      </w:tr>
      <w:tr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1 year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</w:tr>
    </w:tbl>
    <w:p>
      <w:pPr>
        <w:pStyle w:val="Heading1"/>
      </w:pPr>
      <w:r>
        <w:t>5. Disposal Rules</w:t>
      </w:r>
    </w:p>
    <w:p>
      <w:r>
        <w:t>- Archived files must be compressed and moved to a secure cold-storage location.</w:t>
      </w:r>
    </w:p>
    <w:p>
      <w:r>
        <w:t>- Deleted files must be irreversibly destroyed using secure deletion tools.</w:t>
      </w:r>
    </w:p>
    <w:p>
      <w:r>
        <w:t>- Retention period starts from the document’s last modified date.</w:t>
      </w:r>
    </w:p>
    <w:p>
      <w:pPr>
        <w:pStyle w:val="Heading1"/>
      </w:pPr>
      <w:r>
        <w:t>6. Special Handling Rules</w:t>
      </w:r>
    </w:p>
    <w:p>
      <w:r>
        <w:t>- If a document contains both PII and Financial data, classify it as Personal and Confidential, and retain for 5 years.</w:t>
      </w:r>
    </w:p>
    <w:p>
      <w:r>
        <w:t>- ZIP files must be unpacked and each file classified independently.</w:t>
      </w:r>
    </w:p>
    <w:p>
      <w:r>
        <w:t>- Password-protected or corrupted files must be flagged for manual review.</w:t>
      </w:r>
    </w:p>
    <w:p>
      <w:pPr>
        <w:pStyle w:val="Heading1"/>
      </w:pPr>
      <w:r>
        <w:t>7. Orphaned Files</w:t>
      </w:r>
    </w:p>
    <w:p>
      <w:r>
        <w:t>- Files older than 5 years with no access logs and not linked to any project must be marked as Orphaned and reviewed for deletion.</w:t>
      </w:r>
    </w:p>
    <w:p>
      <w:pPr>
        <w:pStyle w:val="Heading1"/>
      </w:pPr>
      <w:r>
        <w:t>8. Exceptions</w:t>
      </w:r>
    </w:p>
    <w:p>
      <w:r>
        <w:t>- Exceptions to this policy must be approved by the Data Governance Committee.</w:t>
      </w:r>
    </w:p>
    <w:p>
      <w:pPr>
        <w:pStyle w:val="Heading1"/>
      </w:pPr>
      <w:r>
        <w:t>9. Review Cycle</w:t>
      </w:r>
    </w:p>
    <w:p>
      <w:r>
        <w:t>- This policy will be reviewed annually by the Information Security and Compliance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