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eta"/>
      </w:pPr>
      <w:r>
        <w:rPr>
          <w:b/>
        </w:rPr>
        <w:t>IMPLEMENTATION BLUEPRINT  |  VICTORIA AUSTRALIA</w:t>
      </w:r>
    </w:p>
    <w:p>
      <w:pPr>
        <w:pStyle w:val="Title"/>
      </w:pPr>
      <w:r>
        <w:t>Victorian Home Investment Data Platform</w:t>
      </w:r>
    </w:p>
    <w:p>
      <w:r>
        <w:rPr>
          <w:color w:val="364E66"/>
          <w:sz w:val="30"/>
        </w:rPr>
        <w:t>A source-grounded Azure data engineering ecosystem for suburb screening, investment analysis and alerts</w:t>
      </w:r>
    </w:p>
    <w:p>
      <w:pPr>
        <w:pStyle w:val="SmallMeta"/>
      </w:pPr>
      <w:r>
        <w:t>Prepared for an individual home buyer and property investor</w:t>
      </w:r>
    </w:p>
    <w:p>
      <w:pPr>
        <w:pStyle w:val="SmallMeta"/>
      </w:pPr>
      <w:r>
        <w:t>Research current to 5 September 2026</w:t>
      </w:r>
    </w:p>
    <w:p>
      <w:r>
        <w:br/>
      </w:r>
    </w:p>
    <w:p>
      <w:r>
        <w:rPr>
          <w:b/>
          <w:sz w:val="26"/>
        </w:rPr>
        <w:t>Recommended starting point</w:t>
      </w:r>
    </w:p>
    <w:p>
      <w:r>
        <w:t>Build a cost-conscious Azure MVP with scheduled Python functions, immutable files in ADLS Gen2, curated Azure SQL marts, Microsoft Entra identities, Power BI, GitHub OIDC and Resend. Do not add Spark until measured workload size justifies it.</w:t>
      </w:r>
    </w:p>
    <w:p>
      <w:pPr>
        <w:pStyle w:val="SmallMeta"/>
      </w:pPr>
      <w:r>
        <w:t>The system ranks evidence and uncertainty. It does not promise a “best suburb” or guaranteed return.</w:t>
      </w:r>
    </w:p>
    <w:p>
      <w:r>
        <w:br w:type="page"/>
      </w:r>
    </w:p>
    <w:p>
      <w:pPr>
        <w:pStyle w:val="Heading1"/>
      </w:pPr>
      <w:r>
        <w:t>How to use this blueprint</w:t>
      </w:r>
    </w:p>
    <w:p>
      <w:r>
        <w:t>This document is both a build plan and an investment-analysis contract. Build the platform in the order shown, keep every score reproducible, and use the result to form a shortlist. Complete property-specific legal, physical, insurance, finance and tax due diligence before purchasing.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3168"/>
            <w:shd w:fill="17365D"/>
            <w:vAlign w:val="center"/>
            <w:tcMar>
              <w:top w:w="100" w:type="dxa"/>
              <w:start w:w="110" w:type="dxa"/>
              <w:bottom w:w="100" w:type="dxa"/>
              <w:end w:w="110" w:type="dxa"/>
            </w:tcMar>
          </w:tcPr>
          <w:p>
            <w:r>
              <w:rPr>
                <w:b/>
                <w:color w:val="FFFFFF"/>
                <w:sz w:val="18"/>
              </w:rPr>
              <w:t>Read first</w:t>
            </w:r>
          </w:p>
        </w:tc>
        <w:tc>
          <w:tcPr>
            <w:tcW w:type="dxa" w:w="6336"/>
            <w:shd w:fill="17365D"/>
            <w:vAlign w:val="center"/>
            <w:tcMar>
              <w:top w:w="100" w:type="dxa"/>
              <w:start w:w="110" w:type="dxa"/>
              <w:bottom w:w="100" w:type="dxa"/>
              <w:end w:w="110" w:type="dxa"/>
            </w:tcMar>
          </w:tcPr>
          <w:p>
            <w:r>
              <w:rPr>
                <w:b/>
                <w:color w:val="FFFFFF"/>
                <w:sz w:val="18"/>
              </w:rPr>
              <w:t>Use it for</w:t>
            </w:r>
          </w:p>
        </w:tc>
      </w:tr>
      <w:tr>
        <w:trPr>
          <w:cantSplit/>
        </w:trPr>
        <w:tc>
          <w:tcPr>
            <w:tcW w:type="dxa" w:w="3168"/>
            <w:vAlign w:val="center"/>
            <w:tcMar>
              <w:top w:w="100" w:type="dxa"/>
              <w:start w:w="110" w:type="dxa"/>
              <w:bottom w:w="100" w:type="dxa"/>
              <w:end w:w="110" w:type="dxa"/>
            </w:tcMar>
          </w:tcPr>
          <w:p>
            <w:pPr>
              <w:spacing w:after="0" w:line="240" w:lineRule="auto"/>
            </w:pPr>
            <w:r>
              <w:rPr>
                <w:sz w:val="17"/>
              </w:rPr>
              <w:t>Architecture and refresh policy</w:t>
            </w:r>
          </w:p>
        </w:tc>
        <w:tc>
          <w:tcPr>
            <w:tcW w:type="dxa" w:w="6336"/>
            <w:vAlign w:val="center"/>
            <w:tcMar>
              <w:top w:w="100" w:type="dxa"/>
              <w:start w:w="110" w:type="dxa"/>
              <w:bottom w:w="100" w:type="dxa"/>
              <w:end w:w="110" w:type="dxa"/>
            </w:tcMar>
          </w:tcPr>
          <w:p>
            <w:pPr>
              <w:spacing w:after="0" w:line="240" w:lineRule="auto"/>
            </w:pPr>
            <w:r>
              <w:rPr>
                <w:sz w:val="17"/>
              </w:rPr>
              <w:t>Choose services and avoid false “real-time” expectations</w:t>
            </w:r>
          </w:p>
        </w:tc>
      </w:tr>
      <w:tr>
        <w:trPr>
          <w:cantSplit/>
        </w:trPr>
        <w:tc>
          <w:tcPr>
            <w:tcW w:type="dxa" w:w="3168"/>
            <w:vAlign w:val="center"/>
            <w:tcMar>
              <w:top w:w="100" w:type="dxa"/>
              <w:start w:w="110" w:type="dxa"/>
              <w:bottom w:w="100" w:type="dxa"/>
              <w:end w:w="110" w:type="dxa"/>
            </w:tcMar>
            <w:shd w:fill="F2F6FA"/>
          </w:tcPr>
          <w:p>
            <w:pPr>
              <w:spacing w:after="0" w:line="240" w:lineRule="auto"/>
            </w:pPr>
            <w:r>
              <w:rPr>
                <w:sz w:val="17"/>
              </w:rPr>
              <w:t>Source register and database design</w:t>
            </w:r>
          </w:p>
        </w:tc>
        <w:tc>
          <w:tcPr>
            <w:tcW w:type="dxa" w:w="6336"/>
            <w:vAlign w:val="center"/>
            <w:tcMar>
              <w:top w:w="100" w:type="dxa"/>
              <w:start w:w="110" w:type="dxa"/>
              <w:bottom w:w="100" w:type="dxa"/>
              <w:end w:w="110" w:type="dxa"/>
            </w:tcMar>
            <w:shd w:fill="F2F6FA"/>
          </w:tcPr>
          <w:p>
            <w:pPr>
              <w:spacing w:after="0" w:line="240" w:lineRule="auto"/>
            </w:pPr>
            <w:r>
              <w:rPr>
                <w:sz w:val="17"/>
              </w:rPr>
              <w:t>Create ingestion contracts and the SQL model</w:t>
            </w:r>
          </w:p>
        </w:tc>
      </w:tr>
      <w:tr>
        <w:trPr>
          <w:cantSplit/>
        </w:trPr>
        <w:tc>
          <w:tcPr>
            <w:tcW w:type="dxa" w:w="3168"/>
            <w:vAlign w:val="center"/>
            <w:tcMar>
              <w:top w:w="100" w:type="dxa"/>
              <w:start w:w="110" w:type="dxa"/>
              <w:bottom w:w="100" w:type="dxa"/>
              <w:end w:w="110" w:type="dxa"/>
            </w:tcMar>
          </w:tcPr>
          <w:p>
            <w:pPr>
              <w:spacing w:after="0" w:line="240" w:lineRule="auto"/>
            </w:pPr>
            <w:r>
              <w:rPr>
                <w:sz w:val="17"/>
              </w:rPr>
              <w:t>Investment analytics</w:t>
            </w:r>
          </w:p>
        </w:tc>
        <w:tc>
          <w:tcPr>
            <w:tcW w:type="dxa" w:w="6336"/>
            <w:vAlign w:val="center"/>
            <w:tcMar>
              <w:top w:w="100" w:type="dxa"/>
              <w:start w:w="110" w:type="dxa"/>
              <w:bottom w:w="100" w:type="dxa"/>
              <w:end w:w="110" w:type="dxa"/>
            </w:tcMar>
          </w:tcPr>
          <w:p>
            <w:pPr>
              <w:spacing w:after="0" w:line="240" w:lineRule="auto"/>
            </w:pPr>
            <w:r>
              <w:rPr>
                <w:sz w:val="17"/>
              </w:rPr>
              <w:t>Build transparent features, scores and scenarios</w:t>
            </w:r>
          </w:p>
        </w:tc>
      </w:tr>
      <w:tr>
        <w:trPr>
          <w:cantSplit/>
        </w:trPr>
        <w:tc>
          <w:tcPr>
            <w:tcW w:type="dxa" w:w="3168"/>
            <w:vAlign w:val="center"/>
            <w:tcMar>
              <w:top w:w="100" w:type="dxa"/>
              <w:start w:w="110" w:type="dxa"/>
              <w:bottom w:w="100" w:type="dxa"/>
              <w:end w:w="110" w:type="dxa"/>
            </w:tcMar>
            <w:shd w:fill="F2F6FA"/>
          </w:tcPr>
          <w:p>
            <w:pPr>
              <w:spacing w:after="0" w:line="240" w:lineRule="auto"/>
            </w:pPr>
            <w:r>
              <w:rPr>
                <w:sz w:val="17"/>
              </w:rPr>
              <w:t>Security and operations</w:t>
            </w:r>
          </w:p>
        </w:tc>
        <w:tc>
          <w:tcPr>
            <w:tcW w:type="dxa" w:w="6336"/>
            <w:vAlign w:val="center"/>
            <w:tcMar>
              <w:top w:w="100" w:type="dxa"/>
              <w:start w:w="110" w:type="dxa"/>
              <w:bottom w:w="100" w:type="dxa"/>
              <w:end w:w="110" w:type="dxa"/>
            </w:tcMar>
            <w:shd w:fill="F2F6FA"/>
          </w:tcPr>
          <w:p>
            <w:pPr>
              <w:spacing w:after="0" w:line="240" w:lineRule="auto"/>
            </w:pPr>
            <w:r>
              <w:rPr>
                <w:sz w:val="17"/>
              </w:rPr>
              <w:t>Implement identity, least privilege, monitoring and cost controls</w:t>
            </w:r>
          </w:p>
        </w:tc>
      </w:tr>
      <w:tr>
        <w:trPr>
          <w:cantSplit/>
        </w:trPr>
        <w:tc>
          <w:tcPr>
            <w:tcW w:type="dxa" w:w="3168"/>
            <w:vAlign w:val="center"/>
            <w:tcMar>
              <w:top w:w="100" w:type="dxa"/>
              <w:start w:w="110" w:type="dxa"/>
              <w:bottom w:w="100" w:type="dxa"/>
              <w:end w:w="110" w:type="dxa"/>
            </w:tcMar>
          </w:tcPr>
          <w:p>
            <w:pPr>
              <w:spacing w:after="0" w:line="240" w:lineRule="auto"/>
            </w:pPr>
            <w:r>
              <w:rPr>
                <w:sz w:val="17"/>
              </w:rPr>
              <w:t>Delivery roadmap</w:t>
            </w:r>
          </w:p>
        </w:tc>
        <w:tc>
          <w:tcPr>
            <w:tcW w:type="dxa" w:w="6336"/>
            <w:vAlign w:val="center"/>
            <w:tcMar>
              <w:top w:w="100" w:type="dxa"/>
              <w:start w:w="110" w:type="dxa"/>
              <w:bottom w:w="100" w:type="dxa"/>
              <w:end w:w="110" w:type="dxa"/>
            </w:tcMar>
          </w:tcPr>
          <w:p>
            <w:pPr>
              <w:spacing w:after="0" w:line="240" w:lineRule="auto"/>
            </w:pPr>
            <w:r>
              <w:rPr>
                <w:sz w:val="17"/>
              </w:rPr>
              <w:t>Turn the ecosystem into an eleven-week portfolio project</w:t>
            </w:r>
          </w:p>
        </w:tc>
      </w:tr>
    </w:tbl>
    <w:p>
      <w:pPr>
        <w:spacing w:after="40"/>
      </w:pPr>
    </w:p>
    <w:p>
      <w:pPr>
        <w:pStyle w:val="Heading1"/>
      </w:pPr>
      <w:r>
        <w:t>Executive answer</w:t>
      </w:r>
    </w:p>
    <w:p>
      <w:r>
        <w:t>Build a small medallion-style platform: Azure Functions for scheduled Python ingestion; Azure Blob Storage or ADLS Gen2 for immutable raw snapshots; Azure SQL Database for cleaned and curated relational data; Microsoft Entra ID and managed identities for access; Key Vault for the Resend secret; Power BI for exploration; and GitHub Actions with OIDC plus Bicep for repeatable deployment. Start without Spark. Add Databricks or Synapse Spark only after measured volume or geospatial processing makes single-node Python inadequate.</w:t>
      </w:r>
    </w:p>
    <w:p>
      <w:r>
        <w:t>Official Victorian sales data is quarterly and the newest quarter is preliminary. Hourly work belongs to real-time transport and disruption feeds, not property-price claims. The product should rank suburbs within comparable cohorts and expose source dates, coverage and sensitivity.</w:t>
      </w:r>
    </w:p>
    <w:p>
      <w:r>
        <w:t xml:space="preserve"> </w:t>
      </w:r>
    </w:p>
    <w:p>
      <w:pPr>
        <w:pStyle w:val="Heading1"/>
      </w:pPr>
      <w:r>
        <w:t>Target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1512"/>
            <w:shd w:fill="17365D"/>
            <w:vAlign w:val="center"/>
            <w:tcMar>
              <w:top w:w="100" w:type="dxa"/>
              <w:start w:w="110" w:type="dxa"/>
              <w:bottom w:w="100" w:type="dxa"/>
              <w:end w:w="110" w:type="dxa"/>
            </w:tcMar>
          </w:tcPr>
          <w:p>
            <w:r>
              <w:rPr>
                <w:b/>
                <w:color w:val="FFFFFF"/>
                <w:sz w:val="18"/>
              </w:rPr>
              <w:t>Layer</w:t>
            </w:r>
          </w:p>
        </w:tc>
        <w:tc>
          <w:tcPr>
            <w:tcW w:type="dxa" w:w="2232"/>
            <w:shd w:fill="17365D"/>
            <w:vAlign w:val="center"/>
            <w:tcMar>
              <w:top w:w="100" w:type="dxa"/>
              <w:start w:w="110" w:type="dxa"/>
              <w:bottom w:w="100" w:type="dxa"/>
              <w:end w:w="110" w:type="dxa"/>
            </w:tcMar>
          </w:tcPr>
          <w:p>
            <w:r>
              <w:rPr>
                <w:b/>
                <w:color w:val="FFFFFF"/>
                <w:sz w:val="18"/>
              </w:rPr>
              <w:t>Service</w:t>
            </w:r>
          </w:p>
        </w:tc>
        <w:tc>
          <w:tcPr>
            <w:tcW w:type="dxa" w:w="5760"/>
            <w:shd w:fill="17365D"/>
            <w:vAlign w:val="center"/>
            <w:tcMar>
              <w:top w:w="100" w:type="dxa"/>
              <w:start w:w="110" w:type="dxa"/>
              <w:bottom w:w="100" w:type="dxa"/>
              <w:end w:w="110" w:type="dxa"/>
            </w:tcMar>
          </w:tcPr>
          <w:p>
            <w:r>
              <w:rPr>
                <w:b/>
                <w:color w:val="FFFFFF"/>
                <w:sz w:val="18"/>
              </w:rPr>
              <w:t>Responsibility</w:t>
            </w:r>
          </w:p>
        </w:tc>
      </w:tr>
      <w:tr>
        <w:trPr>
          <w:cantSplit/>
        </w:trPr>
        <w:tc>
          <w:tcPr>
            <w:tcW w:type="dxa" w:w="1512"/>
            <w:vAlign w:val="center"/>
            <w:tcMar>
              <w:top w:w="100" w:type="dxa"/>
              <w:start w:w="110" w:type="dxa"/>
              <w:bottom w:w="100" w:type="dxa"/>
              <w:end w:w="110" w:type="dxa"/>
            </w:tcMar>
          </w:tcPr>
          <w:p>
            <w:pPr>
              <w:spacing w:after="0" w:line="240" w:lineRule="auto"/>
            </w:pPr>
            <w:r>
              <w:rPr>
                <w:sz w:val="17"/>
              </w:rPr>
              <w:t>Acquire</w:t>
            </w:r>
          </w:p>
        </w:tc>
        <w:tc>
          <w:tcPr>
            <w:tcW w:type="dxa" w:w="2232"/>
            <w:vAlign w:val="center"/>
            <w:tcMar>
              <w:top w:w="100" w:type="dxa"/>
              <w:start w:w="110" w:type="dxa"/>
              <w:bottom w:w="100" w:type="dxa"/>
              <w:end w:w="110" w:type="dxa"/>
            </w:tcMar>
          </w:tcPr>
          <w:p>
            <w:pPr>
              <w:spacing w:after="0" w:line="240" w:lineRule="auto"/>
            </w:pPr>
            <w:r>
              <w:rPr>
                <w:sz w:val="17"/>
              </w:rPr>
              <w:t>Azure Functions</w:t>
            </w:r>
          </w:p>
        </w:tc>
        <w:tc>
          <w:tcPr>
            <w:tcW w:type="dxa" w:w="5760"/>
            <w:vAlign w:val="center"/>
            <w:tcMar>
              <w:top w:w="100" w:type="dxa"/>
              <w:start w:w="110" w:type="dxa"/>
              <w:bottom w:w="100" w:type="dxa"/>
              <w:end w:w="110" w:type="dxa"/>
            </w:tcMar>
          </w:tcPr>
          <w:p>
            <w:pPr>
              <w:spacing w:after="0" w:line="240" w:lineRule="auto"/>
            </w:pPr>
            <w:r>
              <w:rPr>
                <w:sz w:val="17"/>
              </w:rPr>
              <w:t>Timer-triggered Python adapters, backoff, rate-limit handling</w:t>
            </w:r>
          </w:p>
        </w:tc>
      </w:tr>
      <w:tr>
        <w:trPr>
          <w:cantSplit/>
        </w:trPr>
        <w:tc>
          <w:tcPr>
            <w:tcW w:type="dxa" w:w="1512"/>
            <w:vAlign w:val="center"/>
            <w:tcMar>
              <w:top w:w="100" w:type="dxa"/>
              <w:start w:w="110" w:type="dxa"/>
              <w:bottom w:w="100" w:type="dxa"/>
              <w:end w:w="110" w:type="dxa"/>
            </w:tcMar>
            <w:shd w:fill="F2F6FA"/>
          </w:tcPr>
          <w:p>
            <w:pPr>
              <w:spacing w:after="0" w:line="240" w:lineRule="auto"/>
            </w:pPr>
            <w:r>
              <w:rPr>
                <w:sz w:val="17"/>
              </w:rPr>
              <w:t>Raw Bronze</w:t>
            </w:r>
          </w:p>
        </w:tc>
        <w:tc>
          <w:tcPr>
            <w:tcW w:type="dxa" w:w="2232"/>
            <w:vAlign w:val="center"/>
            <w:tcMar>
              <w:top w:w="100" w:type="dxa"/>
              <w:start w:w="110" w:type="dxa"/>
              <w:bottom w:w="100" w:type="dxa"/>
              <w:end w:w="110" w:type="dxa"/>
            </w:tcMar>
            <w:shd w:fill="F2F6FA"/>
          </w:tcPr>
          <w:p>
            <w:pPr>
              <w:spacing w:after="0" w:line="240" w:lineRule="auto"/>
            </w:pPr>
            <w:r>
              <w:rPr>
                <w:sz w:val="17"/>
              </w:rPr>
              <w:t>ADLS Gen2</w:t>
            </w:r>
          </w:p>
        </w:tc>
        <w:tc>
          <w:tcPr>
            <w:tcW w:type="dxa" w:w="5760"/>
            <w:vAlign w:val="center"/>
            <w:tcMar>
              <w:top w:w="100" w:type="dxa"/>
              <w:start w:w="110" w:type="dxa"/>
              <w:bottom w:w="100" w:type="dxa"/>
              <w:end w:w="110" w:type="dxa"/>
            </w:tcMar>
            <w:shd w:fill="F2F6FA"/>
          </w:tcPr>
          <w:p>
            <w:pPr>
              <w:spacing w:after="0" w:line="240" w:lineRule="auto"/>
            </w:pPr>
            <w:r>
              <w:rPr>
                <w:sz w:val="17"/>
              </w:rPr>
              <w:t>Immutable source payloads, manifests, checksums and lifecycle</w:t>
            </w:r>
          </w:p>
        </w:tc>
      </w:tr>
      <w:tr>
        <w:trPr>
          <w:cantSplit/>
        </w:trPr>
        <w:tc>
          <w:tcPr>
            <w:tcW w:type="dxa" w:w="1512"/>
            <w:vAlign w:val="center"/>
            <w:tcMar>
              <w:top w:w="100" w:type="dxa"/>
              <w:start w:w="110" w:type="dxa"/>
              <w:bottom w:w="100" w:type="dxa"/>
              <w:end w:w="110" w:type="dxa"/>
            </w:tcMar>
          </w:tcPr>
          <w:p>
            <w:pPr>
              <w:spacing w:after="0" w:line="240" w:lineRule="auto"/>
            </w:pPr>
            <w:r>
              <w:rPr>
                <w:sz w:val="17"/>
              </w:rPr>
              <w:t>Standard Silver</w:t>
            </w:r>
          </w:p>
        </w:tc>
        <w:tc>
          <w:tcPr>
            <w:tcW w:type="dxa" w:w="2232"/>
            <w:vAlign w:val="center"/>
            <w:tcMar>
              <w:top w:w="100" w:type="dxa"/>
              <w:start w:w="110" w:type="dxa"/>
              <w:bottom w:w="100" w:type="dxa"/>
              <w:end w:w="110" w:type="dxa"/>
            </w:tcMar>
          </w:tcPr>
          <w:p>
            <w:pPr>
              <w:spacing w:after="0" w:line="240" w:lineRule="auto"/>
            </w:pPr>
            <w:r>
              <w:rPr>
                <w:sz w:val="17"/>
              </w:rPr>
              <w:t>Python plus Parquet</w:t>
            </w:r>
          </w:p>
        </w:tc>
        <w:tc>
          <w:tcPr>
            <w:tcW w:type="dxa" w:w="5760"/>
            <w:vAlign w:val="center"/>
            <w:tcMar>
              <w:top w:w="100" w:type="dxa"/>
              <w:start w:w="110" w:type="dxa"/>
              <w:bottom w:w="100" w:type="dxa"/>
              <w:end w:w="110" w:type="dxa"/>
            </w:tcMar>
          </w:tcPr>
          <w:p>
            <w:pPr>
              <w:spacing w:after="0" w:line="240" w:lineRule="auto"/>
            </w:pPr>
            <w:r>
              <w:rPr>
                <w:sz w:val="17"/>
              </w:rPr>
              <w:t>Schemas, geography mapping, types, validation and quarantine</w:t>
            </w:r>
          </w:p>
        </w:tc>
      </w:tr>
      <w:tr>
        <w:trPr>
          <w:cantSplit/>
        </w:trPr>
        <w:tc>
          <w:tcPr>
            <w:tcW w:type="dxa" w:w="1512"/>
            <w:vAlign w:val="center"/>
            <w:tcMar>
              <w:top w:w="100" w:type="dxa"/>
              <w:start w:w="110" w:type="dxa"/>
              <w:bottom w:w="100" w:type="dxa"/>
              <w:end w:w="110" w:type="dxa"/>
            </w:tcMar>
            <w:shd w:fill="F2F6FA"/>
          </w:tcPr>
          <w:p>
            <w:pPr>
              <w:spacing w:after="0" w:line="240" w:lineRule="auto"/>
            </w:pPr>
            <w:r>
              <w:rPr>
                <w:sz w:val="17"/>
              </w:rPr>
              <w:t>Curated Gold</w:t>
            </w:r>
          </w:p>
        </w:tc>
        <w:tc>
          <w:tcPr>
            <w:tcW w:type="dxa" w:w="2232"/>
            <w:vAlign w:val="center"/>
            <w:tcMar>
              <w:top w:w="100" w:type="dxa"/>
              <w:start w:w="110" w:type="dxa"/>
              <w:bottom w:w="100" w:type="dxa"/>
              <w:end w:w="110" w:type="dxa"/>
            </w:tcMar>
            <w:shd w:fill="F2F6FA"/>
          </w:tcPr>
          <w:p>
            <w:pPr>
              <w:spacing w:after="0" w:line="240" w:lineRule="auto"/>
            </w:pPr>
            <w:r>
              <w:rPr>
                <w:sz w:val="17"/>
              </w:rPr>
              <w:t>Azure SQL Database</w:t>
            </w:r>
          </w:p>
        </w:tc>
        <w:tc>
          <w:tcPr>
            <w:tcW w:type="dxa" w:w="5760"/>
            <w:vAlign w:val="center"/>
            <w:tcMar>
              <w:top w:w="100" w:type="dxa"/>
              <w:start w:w="110" w:type="dxa"/>
              <w:bottom w:w="100" w:type="dxa"/>
              <w:end w:w="110" w:type="dxa"/>
            </w:tcMar>
            <w:shd w:fill="F2F6FA"/>
          </w:tcPr>
          <w:p>
            <w:pPr>
              <w:spacing w:after="0" w:line="240" w:lineRule="auto"/>
            </w:pPr>
            <w:r>
              <w:rPr>
                <w:sz w:val="17"/>
              </w:rPr>
              <w:t>Conformed dimensions, facts, marts, scores and certified views</w:t>
            </w:r>
          </w:p>
        </w:tc>
      </w:tr>
      <w:tr>
        <w:trPr>
          <w:cantSplit/>
        </w:trPr>
        <w:tc>
          <w:tcPr>
            <w:tcW w:type="dxa" w:w="1512"/>
            <w:vAlign w:val="center"/>
            <w:tcMar>
              <w:top w:w="100" w:type="dxa"/>
              <w:start w:w="110" w:type="dxa"/>
              <w:bottom w:w="100" w:type="dxa"/>
              <w:end w:w="110" w:type="dxa"/>
            </w:tcMar>
          </w:tcPr>
          <w:p>
            <w:pPr>
              <w:spacing w:after="0" w:line="240" w:lineRule="auto"/>
            </w:pPr>
            <w:r>
              <w:rPr>
                <w:sz w:val="17"/>
              </w:rPr>
              <w:t>Consume</w:t>
            </w:r>
          </w:p>
        </w:tc>
        <w:tc>
          <w:tcPr>
            <w:tcW w:type="dxa" w:w="2232"/>
            <w:vAlign w:val="center"/>
            <w:tcMar>
              <w:top w:w="100" w:type="dxa"/>
              <w:start w:w="110" w:type="dxa"/>
              <w:bottom w:w="100" w:type="dxa"/>
              <w:end w:w="110" w:type="dxa"/>
            </w:tcMar>
          </w:tcPr>
          <w:p>
            <w:pPr>
              <w:spacing w:after="0" w:line="240" w:lineRule="auto"/>
            </w:pPr>
            <w:r>
              <w:rPr>
                <w:sz w:val="17"/>
              </w:rPr>
              <w:t>Power BI and Resend</w:t>
            </w:r>
          </w:p>
        </w:tc>
        <w:tc>
          <w:tcPr>
            <w:tcW w:type="dxa" w:w="5760"/>
            <w:vAlign w:val="center"/>
            <w:tcMar>
              <w:top w:w="100" w:type="dxa"/>
              <w:start w:w="110" w:type="dxa"/>
              <w:bottom w:w="100" w:type="dxa"/>
              <w:end w:w="110" w:type="dxa"/>
            </w:tcMar>
          </w:tcPr>
          <w:p>
            <w:pPr>
              <w:spacing w:after="0" w:line="240" w:lineRule="auto"/>
            </w:pPr>
            <w:r>
              <w:rPr>
                <w:sz w:val="17"/>
              </w:rPr>
              <w:t>Interactive analysis, scenario testing and deduplicated alerts</w:t>
            </w:r>
          </w:p>
        </w:tc>
      </w:tr>
      <w:tr>
        <w:trPr>
          <w:cantSplit/>
        </w:trPr>
        <w:tc>
          <w:tcPr>
            <w:tcW w:type="dxa" w:w="1512"/>
            <w:vAlign w:val="center"/>
            <w:tcMar>
              <w:top w:w="100" w:type="dxa"/>
              <w:start w:w="110" w:type="dxa"/>
              <w:bottom w:w="100" w:type="dxa"/>
              <w:end w:w="110" w:type="dxa"/>
            </w:tcMar>
            <w:shd w:fill="F2F6FA"/>
          </w:tcPr>
          <w:p>
            <w:pPr>
              <w:spacing w:after="0" w:line="240" w:lineRule="auto"/>
            </w:pPr>
            <w:r>
              <w:rPr>
                <w:sz w:val="17"/>
              </w:rPr>
              <w:t>Operate</w:t>
            </w:r>
          </w:p>
        </w:tc>
        <w:tc>
          <w:tcPr>
            <w:tcW w:type="dxa" w:w="2232"/>
            <w:vAlign w:val="center"/>
            <w:tcMar>
              <w:top w:w="100" w:type="dxa"/>
              <w:start w:w="110" w:type="dxa"/>
              <w:bottom w:w="100" w:type="dxa"/>
              <w:end w:w="110" w:type="dxa"/>
            </w:tcMar>
            <w:shd w:fill="F2F6FA"/>
          </w:tcPr>
          <w:p>
            <w:pPr>
              <w:spacing w:after="0" w:line="240" w:lineRule="auto"/>
            </w:pPr>
            <w:r>
              <w:rPr>
                <w:sz w:val="17"/>
              </w:rPr>
              <w:t>Azure Monitor and GitHub</w:t>
            </w:r>
          </w:p>
        </w:tc>
        <w:tc>
          <w:tcPr>
            <w:tcW w:type="dxa" w:w="5760"/>
            <w:vAlign w:val="center"/>
            <w:tcMar>
              <w:top w:w="100" w:type="dxa"/>
              <w:start w:w="110" w:type="dxa"/>
              <w:bottom w:w="100" w:type="dxa"/>
              <w:end w:w="110" w:type="dxa"/>
            </w:tcMar>
            <w:shd w:fill="F2F6FA"/>
          </w:tcPr>
          <w:p>
            <w:pPr>
              <w:spacing w:after="0" w:line="240" w:lineRule="auto"/>
            </w:pPr>
            <w:r>
              <w:rPr>
                <w:sz w:val="17"/>
              </w:rPr>
              <w:t>Logs, SLOs, CI/CD, IaC, approvals and cost controls</w:t>
            </w:r>
          </w:p>
        </w:tc>
      </w:tr>
    </w:tbl>
    <w:p>
      <w:pPr>
        <w:spacing w:after="40"/>
      </w:pPr>
    </w:p>
    <w:p>
      <w:r>
        <w:t>Data flow: publisher -&gt; source adapter -&gt; immutable raw object and manifest -&gt; validated Parquet -&gt; idempotent SQL load -&gt; feature snapshot -&gt; Power BI and alert rules. Every run receives a run_id and every dashboard row can be traced back to source checksums.</w:t>
      </w:r>
    </w:p>
    <w:p>
      <w:pPr>
        <w:pStyle w:val="Heading1"/>
      </w:pPr>
      <w:r>
        <w:t>Medallion data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1440"/>
            <w:shd w:fill="17365D"/>
            <w:vAlign w:val="center"/>
            <w:tcMar>
              <w:top w:w="100" w:type="dxa"/>
              <w:start w:w="110" w:type="dxa"/>
              <w:bottom w:w="100" w:type="dxa"/>
              <w:end w:w="110" w:type="dxa"/>
            </w:tcMar>
          </w:tcPr>
          <w:p>
            <w:r>
              <w:rPr>
                <w:b/>
                <w:color w:val="FFFFFF"/>
                <w:sz w:val="18"/>
              </w:rPr>
              <w:t>Layer</w:t>
            </w:r>
          </w:p>
        </w:tc>
        <w:tc>
          <w:tcPr>
            <w:tcW w:type="dxa" w:w="3384"/>
            <w:shd w:fill="17365D"/>
            <w:vAlign w:val="center"/>
            <w:tcMar>
              <w:top w:w="100" w:type="dxa"/>
              <w:start w:w="110" w:type="dxa"/>
              <w:bottom w:w="100" w:type="dxa"/>
              <w:end w:w="110" w:type="dxa"/>
            </w:tcMar>
          </w:tcPr>
          <w:p>
            <w:r>
              <w:rPr>
                <w:b/>
                <w:color w:val="FFFFFF"/>
                <w:sz w:val="18"/>
              </w:rPr>
              <w:t>Storage and format</w:t>
            </w:r>
          </w:p>
        </w:tc>
        <w:tc>
          <w:tcPr>
            <w:tcW w:type="dxa" w:w="4752"/>
            <w:shd w:fill="17365D"/>
            <w:vAlign w:val="center"/>
            <w:tcMar>
              <w:top w:w="100" w:type="dxa"/>
              <w:start w:w="110" w:type="dxa"/>
              <w:bottom w:w="100" w:type="dxa"/>
              <w:end w:w="110" w:type="dxa"/>
            </w:tcMar>
          </w:tcPr>
          <w:p>
            <w:r>
              <w:rPr>
                <w:b/>
                <w:color w:val="FFFFFF"/>
                <w:sz w:val="18"/>
              </w:rPr>
              <w:t>Contract and consumers</w:t>
            </w:r>
          </w:p>
        </w:tc>
      </w:tr>
      <w:tr>
        <w:trPr>
          <w:cantSplit/>
        </w:trPr>
        <w:tc>
          <w:tcPr>
            <w:tcW w:type="dxa" w:w="1440"/>
            <w:vAlign w:val="center"/>
            <w:tcMar>
              <w:top w:w="100" w:type="dxa"/>
              <w:start w:w="110" w:type="dxa"/>
              <w:bottom w:w="100" w:type="dxa"/>
              <w:end w:w="110" w:type="dxa"/>
            </w:tcMar>
          </w:tcPr>
          <w:p>
            <w:pPr>
              <w:spacing w:after="0" w:line="240" w:lineRule="auto"/>
            </w:pPr>
            <w:r>
              <w:rPr>
                <w:sz w:val="17"/>
              </w:rPr>
              <w:t>Bronze</w:t>
            </w:r>
          </w:p>
        </w:tc>
        <w:tc>
          <w:tcPr>
            <w:tcW w:type="dxa" w:w="3384"/>
            <w:vAlign w:val="center"/>
            <w:tcMar>
              <w:top w:w="100" w:type="dxa"/>
              <w:start w:w="110" w:type="dxa"/>
              <w:bottom w:w="100" w:type="dxa"/>
              <w:end w:w="110" w:type="dxa"/>
            </w:tcMar>
          </w:tcPr>
          <w:p>
            <w:pPr>
              <w:spacing w:after="0" w:line="240" w:lineRule="auto"/>
            </w:pPr>
            <w:r>
              <w:rPr>
                <w:sz w:val="17"/>
              </w:rPr>
              <w:t>ADLS Gen2; source-native XLSX, CSV, JSON, GeoJSON, ZIP, Protobuf and GIS files</w:t>
            </w:r>
          </w:p>
        </w:tc>
        <w:tc>
          <w:tcPr>
            <w:tcW w:type="dxa" w:w="4752"/>
            <w:vAlign w:val="center"/>
            <w:tcMar>
              <w:top w:w="100" w:type="dxa"/>
              <w:start w:w="110" w:type="dxa"/>
              <w:bottom w:w="100" w:type="dxa"/>
              <w:end w:w="110" w:type="dxa"/>
            </w:tcMar>
          </w:tcPr>
          <w:p>
            <w:pPr>
              <w:spacing w:after="0" w:line="240" w:lineRule="auto"/>
            </w:pPr>
            <w:r>
              <w:rPr>
                <w:sz w:val="17"/>
              </w:rPr>
              <w:t>Immutable payload plus manifest. Ingestion and replay only; never queried by Power BI.</w:t>
            </w:r>
          </w:p>
        </w:tc>
      </w:tr>
      <w:tr>
        <w:trPr>
          <w:cantSplit/>
        </w:trPr>
        <w:tc>
          <w:tcPr>
            <w:tcW w:type="dxa" w:w="1440"/>
            <w:vAlign w:val="center"/>
            <w:tcMar>
              <w:top w:w="100" w:type="dxa"/>
              <w:start w:w="110" w:type="dxa"/>
              <w:bottom w:w="100" w:type="dxa"/>
              <w:end w:w="110" w:type="dxa"/>
            </w:tcMar>
            <w:shd w:fill="F2F6FA"/>
          </w:tcPr>
          <w:p>
            <w:pPr>
              <w:spacing w:after="0" w:line="240" w:lineRule="auto"/>
            </w:pPr>
            <w:r>
              <w:rPr>
                <w:sz w:val="17"/>
              </w:rPr>
              <w:t>Silver</w:t>
            </w:r>
          </w:p>
        </w:tc>
        <w:tc>
          <w:tcPr>
            <w:tcW w:type="dxa" w:w="3384"/>
            <w:vAlign w:val="center"/>
            <w:tcMar>
              <w:top w:w="100" w:type="dxa"/>
              <w:start w:w="110" w:type="dxa"/>
              <w:bottom w:w="100" w:type="dxa"/>
              <w:end w:w="110" w:type="dxa"/>
            </w:tcMar>
            <w:shd w:fill="F2F6FA"/>
          </w:tcPr>
          <w:p>
            <w:pPr>
              <w:spacing w:after="0" w:line="240" w:lineRule="auto"/>
            </w:pPr>
            <w:r>
              <w:rPr>
                <w:sz w:val="17"/>
              </w:rPr>
              <w:t>ADLS Gen2; typed Parquet, or Delta after adopting Spark</w:t>
            </w:r>
          </w:p>
        </w:tc>
        <w:tc>
          <w:tcPr>
            <w:tcW w:type="dxa" w:w="4752"/>
            <w:vAlign w:val="center"/>
            <w:tcMar>
              <w:top w:w="100" w:type="dxa"/>
              <w:start w:w="110" w:type="dxa"/>
              <w:bottom w:w="100" w:type="dxa"/>
              <w:end w:w="110" w:type="dxa"/>
            </w:tcMar>
            <w:shd w:fill="F2F6FA"/>
          </w:tcPr>
          <w:p>
            <w:pPr>
              <w:spacing w:after="0" w:line="240" w:lineRule="auto"/>
            </w:pPr>
            <w:r>
              <w:rPr>
                <w:sz w:val="17"/>
              </w:rPr>
              <w:t>Canonical, deduplicated, geography-resolved records. Shared input for curated products.</w:t>
            </w:r>
          </w:p>
        </w:tc>
      </w:tr>
      <w:tr>
        <w:trPr>
          <w:cantSplit/>
        </w:trPr>
        <w:tc>
          <w:tcPr>
            <w:tcW w:type="dxa" w:w="1440"/>
            <w:vAlign w:val="center"/>
            <w:tcMar>
              <w:top w:w="100" w:type="dxa"/>
              <w:start w:w="110" w:type="dxa"/>
              <w:bottom w:w="100" w:type="dxa"/>
              <w:end w:w="110" w:type="dxa"/>
            </w:tcMar>
          </w:tcPr>
          <w:p>
            <w:pPr>
              <w:spacing w:after="0" w:line="240" w:lineRule="auto"/>
            </w:pPr>
            <w:r>
              <w:rPr>
                <w:sz w:val="17"/>
              </w:rPr>
              <w:t>Gold</w:t>
            </w:r>
          </w:p>
        </w:tc>
        <w:tc>
          <w:tcPr>
            <w:tcW w:type="dxa" w:w="3384"/>
            <w:vAlign w:val="center"/>
            <w:tcMar>
              <w:top w:w="100" w:type="dxa"/>
              <w:start w:w="110" w:type="dxa"/>
              <w:bottom w:w="100" w:type="dxa"/>
              <w:end w:w="110" w:type="dxa"/>
            </w:tcMar>
          </w:tcPr>
          <w:p>
            <w:pPr>
              <w:spacing w:after="0" w:line="240" w:lineRule="auto"/>
            </w:pPr>
            <w:r>
              <w:rPr>
                <w:sz w:val="17"/>
              </w:rPr>
              <w:t>Azure SQL; dimensions, facts, snapshots and certified views</w:t>
            </w:r>
          </w:p>
        </w:tc>
        <w:tc>
          <w:tcPr>
            <w:tcW w:type="dxa" w:w="4752"/>
            <w:vAlign w:val="center"/>
            <w:tcMar>
              <w:top w:w="100" w:type="dxa"/>
              <w:start w:w="110" w:type="dxa"/>
              <w:bottom w:w="100" w:type="dxa"/>
              <w:end w:w="110" w:type="dxa"/>
            </w:tcMar>
          </w:tcPr>
          <w:p>
            <w:pPr>
              <w:spacing w:after="0" w:line="240" w:lineRule="auto"/>
            </w:pPr>
            <w:r>
              <w:rPr>
                <w:sz w:val="17"/>
              </w:rPr>
              <w:t>Decision-ready measures for Power BI, alert rules and governed analysis.</w:t>
            </w:r>
          </w:p>
        </w:tc>
      </w:tr>
    </w:tbl>
    <w:p>
      <w:pPr>
        <w:spacing w:after="40"/>
      </w:pPr>
    </w:p>
    <w:p>
      <w:pPr>
        <w:pStyle w:val="Heading2"/>
      </w:pPr>
      <w:r>
        <w:t>Bronze immutable ingestion</w:t>
      </w:r>
    </w:p>
    <w:p>
      <w:r>
        <w:t>Store every response byte-for-byte under bronze/{source}/{entity}/extract_date=YYYY-MM-DD/run_id={uuid}/. A sidecar manifest records URL and non-secret parameters, HTTP status, ETag, Last-Modified, SHA-256, retrieved timestamp, observation and publication dates, licence, schema version, bytes and row count. Bronze applies transport checks and duplicate-checksum detection only. Corrections create new objects; nothing is overwritten.</w:t>
      </w:r>
    </w:p>
    <w:p>
      <w:pPr>
        <w:pStyle w:val="Heading2"/>
      </w:pPr>
      <w:r>
        <w:t>Silver canonical and validated data</w:t>
      </w:r>
    </w:p>
    <w:p>
      <w:r>
        <w:t>Write typed Parquet under silver/{domain}/{entity}/observation_year=YYYY/. Python standardises dwelling types, dates and locality names; resolves versioned geography crosswalks; documents coordinate reference systems; deduplicates business keys; and adds source_id, source_record_hash, run_id, valid_from, valid_to, is_current and quality status. Invalid records enter quarantine. Schema or reconciliation failure blocks publication. Downstream code never parses raw spreadsheets directly.</w:t>
      </w:r>
    </w:p>
    <w:p>
      <w:pPr>
        <w:pStyle w:val="Heading2"/>
      </w:pPr>
      <w:r>
        <w:t>Gold decision products</w:t>
      </w:r>
    </w:p>
    <w:p>
      <w:r>
        <w:t>Load conformed dimensions and facts into Azure SQL at declared grains, then expose certified mart views and materialised snapshots. Gold contains aligned price/rent measures, demand and supply features, transport and risk measures, score snapshots, freshness and property scenarios. Every output retains as_of_date, publication cutoff, score and weight versions, and lineage identifiers. Transactional, idempotent loads leave the previous certified version available if promotion fails.</w:t>
      </w:r>
    </w:p>
    <w:p>
      <w:pPr>
        <w:pStyle w:val="Heading2"/>
      </w:pPr>
      <w:r>
        <w:t>Promotion and replay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1800"/>
            <w:shd w:fill="17365D"/>
            <w:vAlign w:val="center"/>
            <w:tcMar>
              <w:top w:w="100" w:type="dxa"/>
              <w:start w:w="110" w:type="dxa"/>
              <w:bottom w:w="100" w:type="dxa"/>
              <w:end w:w="110" w:type="dxa"/>
            </w:tcMar>
          </w:tcPr>
          <w:p>
            <w:r>
              <w:rPr>
                <w:b/>
                <w:color w:val="FFFFFF"/>
                <w:sz w:val="18"/>
              </w:rPr>
              <w:t>Promotion</w:t>
            </w:r>
          </w:p>
        </w:tc>
        <w:tc>
          <w:tcPr>
            <w:tcW w:type="dxa" w:w="3816"/>
            <w:shd w:fill="17365D"/>
            <w:vAlign w:val="center"/>
            <w:tcMar>
              <w:top w:w="100" w:type="dxa"/>
              <w:start w:w="110" w:type="dxa"/>
              <w:bottom w:w="100" w:type="dxa"/>
              <w:end w:w="110" w:type="dxa"/>
            </w:tcMar>
          </w:tcPr>
          <w:p>
            <w:r>
              <w:rPr>
                <w:b/>
                <w:color w:val="FFFFFF"/>
                <w:sz w:val="18"/>
              </w:rPr>
              <w:t>Required gate</w:t>
            </w:r>
          </w:p>
        </w:tc>
        <w:tc>
          <w:tcPr>
            <w:tcW w:type="dxa" w:w="3960"/>
            <w:shd w:fill="17365D"/>
            <w:vAlign w:val="center"/>
            <w:tcMar>
              <w:top w:w="100" w:type="dxa"/>
              <w:start w:w="110" w:type="dxa"/>
              <w:bottom w:w="100" w:type="dxa"/>
              <w:end w:w="110" w:type="dxa"/>
            </w:tcMar>
          </w:tcPr>
          <w:p>
            <w:r>
              <w:rPr>
                <w:b/>
                <w:color w:val="FFFFFF"/>
                <w:sz w:val="18"/>
              </w:rPr>
              <w:t>Failure behaviour</w:t>
            </w:r>
          </w:p>
        </w:tc>
      </w:tr>
      <w:tr>
        <w:trPr>
          <w:cantSplit/>
        </w:trPr>
        <w:tc>
          <w:tcPr>
            <w:tcW w:type="dxa" w:w="1800"/>
            <w:vAlign w:val="center"/>
            <w:tcMar>
              <w:top w:w="100" w:type="dxa"/>
              <w:start w:w="110" w:type="dxa"/>
              <w:bottom w:w="100" w:type="dxa"/>
              <w:end w:w="110" w:type="dxa"/>
            </w:tcMar>
          </w:tcPr>
          <w:p>
            <w:pPr>
              <w:spacing w:after="0" w:line="240" w:lineRule="auto"/>
            </w:pPr>
            <w:r>
              <w:rPr>
                <w:sz w:val="17"/>
              </w:rPr>
              <w:t>Source to Bronze</w:t>
            </w:r>
          </w:p>
        </w:tc>
        <w:tc>
          <w:tcPr>
            <w:tcW w:type="dxa" w:w="3816"/>
            <w:vAlign w:val="center"/>
            <w:tcMar>
              <w:top w:w="100" w:type="dxa"/>
              <w:start w:w="110" w:type="dxa"/>
              <w:bottom w:w="100" w:type="dxa"/>
              <w:end w:w="110" w:type="dxa"/>
            </w:tcMar>
          </w:tcPr>
          <w:p>
            <w:pPr>
              <w:spacing w:after="0" w:line="240" w:lineRule="auto"/>
            </w:pPr>
            <w:r>
              <w:rPr>
                <w:sz w:val="17"/>
              </w:rPr>
              <w:t>HTTP/file checks, checksum and manifest completeness</w:t>
            </w:r>
          </w:p>
        </w:tc>
        <w:tc>
          <w:tcPr>
            <w:tcW w:type="dxa" w:w="3960"/>
            <w:vAlign w:val="center"/>
            <w:tcMar>
              <w:top w:w="100" w:type="dxa"/>
              <w:start w:w="110" w:type="dxa"/>
              <w:bottom w:w="100" w:type="dxa"/>
              <w:end w:w="110" w:type="dxa"/>
            </w:tcMar>
          </w:tcPr>
          <w:p>
            <w:pPr>
              <w:spacing w:after="0" w:line="240" w:lineRule="auto"/>
            </w:pPr>
            <w:r>
              <w:rPr>
                <w:sz w:val="17"/>
              </w:rPr>
              <w:t>Retry safely; persist failure metadata without publishing an incomplete object</w:t>
            </w:r>
          </w:p>
        </w:tc>
      </w:tr>
      <w:tr>
        <w:trPr>
          <w:cantSplit/>
        </w:trPr>
        <w:tc>
          <w:tcPr>
            <w:tcW w:type="dxa" w:w="1800"/>
            <w:vAlign w:val="center"/>
            <w:tcMar>
              <w:top w:w="100" w:type="dxa"/>
              <w:start w:w="110" w:type="dxa"/>
              <w:bottom w:w="100" w:type="dxa"/>
              <w:end w:w="110" w:type="dxa"/>
            </w:tcMar>
            <w:shd w:fill="F2F6FA"/>
          </w:tcPr>
          <w:p>
            <w:pPr>
              <w:spacing w:after="0" w:line="240" w:lineRule="auto"/>
            </w:pPr>
            <w:r>
              <w:rPr>
                <w:sz w:val="17"/>
              </w:rPr>
              <w:t>Bronze to Silver</w:t>
            </w:r>
          </w:p>
        </w:tc>
        <w:tc>
          <w:tcPr>
            <w:tcW w:type="dxa" w:w="3816"/>
            <w:vAlign w:val="center"/>
            <w:tcMar>
              <w:top w:w="100" w:type="dxa"/>
              <w:start w:w="110" w:type="dxa"/>
              <w:bottom w:w="100" w:type="dxa"/>
              <w:end w:w="110" w:type="dxa"/>
            </w:tcMar>
            <w:shd w:fill="F2F6FA"/>
          </w:tcPr>
          <w:p>
            <w:pPr>
              <w:spacing w:after="0" w:line="240" w:lineRule="auto"/>
            </w:pPr>
            <w:r>
              <w:rPr>
                <w:sz w:val="17"/>
              </w:rPr>
              <w:t>Schema, type, uniqueness, geography and reconciliation tests</w:t>
            </w:r>
          </w:p>
        </w:tc>
        <w:tc>
          <w:tcPr>
            <w:tcW w:type="dxa" w:w="3960"/>
            <w:vAlign w:val="center"/>
            <w:tcMar>
              <w:top w:w="100" w:type="dxa"/>
              <w:start w:w="110" w:type="dxa"/>
              <w:bottom w:w="100" w:type="dxa"/>
              <w:end w:w="110" w:type="dxa"/>
            </w:tcMar>
            <w:shd w:fill="F2F6FA"/>
          </w:tcPr>
          <w:p>
            <w:pPr>
              <w:spacing w:after="0" w:line="240" w:lineRule="auto"/>
            </w:pPr>
            <w:r>
              <w:rPr>
                <w:sz w:val="17"/>
              </w:rPr>
              <w:t>Quarantine bad rows or fail the dataset according to severity</w:t>
            </w:r>
          </w:p>
        </w:tc>
      </w:tr>
      <w:tr>
        <w:trPr>
          <w:cantSplit/>
        </w:trPr>
        <w:tc>
          <w:tcPr>
            <w:tcW w:type="dxa" w:w="1800"/>
            <w:vAlign w:val="center"/>
            <w:tcMar>
              <w:top w:w="100" w:type="dxa"/>
              <w:start w:w="110" w:type="dxa"/>
              <w:bottom w:w="100" w:type="dxa"/>
              <w:end w:w="110" w:type="dxa"/>
            </w:tcMar>
          </w:tcPr>
          <w:p>
            <w:pPr>
              <w:spacing w:after="0" w:line="240" w:lineRule="auto"/>
            </w:pPr>
            <w:r>
              <w:rPr>
                <w:sz w:val="17"/>
              </w:rPr>
              <w:t>Silver to Gold</w:t>
            </w:r>
          </w:p>
        </w:tc>
        <w:tc>
          <w:tcPr>
            <w:tcW w:type="dxa" w:w="3816"/>
            <w:vAlign w:val="center"/>
            <w:tcMar>
              <w:top w:w="100" w:type="dxa"/>
              <w:start w:w="110" w:type="dxa"/>
              <w:bottom w:w="100" w:type="dxa"/>
              <w:end w:w="110" w:type="dxa"/>
            </w:tcMar>
          </w:tcPr>
          <w:p>
            <w:pPr>
              <w:spacing w:after="0" w:line="240" w:lineRule="auto"/>
            </w:pPr>
            <w:r>
              <w:rPr>
                <w:sz w:val="17"/>
              </w:rPr>
              <w:t>Referential integrity, declared grain, freshness and business rules</w:t>
            </w:r>
          </w:p>
        </w:tc>
        <w:tc>
          <w:tcPr>
            <w:tcW w:type="dxa" w:w="3960"/>
            <w:vAlign w:val="center"/>
            <w:tcMar>
              <w:top w:w="100" w:type="dxa"/>
              <w:start w:w="110" w:type="dxa"/>
              <w:bottom w:w="100" w:type="dxa"/>
              <w:end w:w="110" w:type="dxa"/>
            </w:tcMar>
          </w:tcPr>
          <w:p>
            <w:pPr>
              <w:spacing w:after="0" w:line="240" w:lineRule="auto"/>
            </w:pPr>
            <w:r>
              <w:rPr>
                <w:sz w:val="17"/>
              </w:rPr>
              <w:t>Rollback transaction and retain previous certified Gold version</w:t>
            </w:r>
          </w:p>
        </w:tc>
      </w:tr>
      <w:tr>
        <w:trPr>
          <w:cantSplit/>
        </w:trPr>
        <w:tc>
          <w:tcPr>
            <w:tcW w:type="dxa" w:w="1800"/>
            <w:vAlign w:val="center"/>
            <w:tcMar>
              <w:top w:w="100" w:type="dxa"/>
              <w:start w:w="110" w:type="dxa"/>
              <w:bottom w:w="100" w:type="dxa"/>
              <w:end w:w="110" w:type="dxa"/>
            </w:tcMar>
            <w:shd w:fill="F2F6FA"/>
          </w:tcPr>
          <w:p>
            <w:pPr>
              <w:spacing w:after="0" w:line="240" w:lineRule="auto"/>
            </w:pPr>
            <w:r>
              <w:rPr>
                <w:sz w:val="17"/>
              </w:rPr>
              <w:t>Gold to consumption</w:t>
            </w:r>
          </w:p>
        </w:tc>
        <w:tc>
          <w:tcPr>
            <w:tcW w:type="dxa" w:w="3816"/>
            <w:vAlign w:val="center"/>
            <w:tcMar>
              <w:top w:w="100" w:type="dxa"/>
              <w:start w:w="110" w:type="dxa"/>
              <w:bottom w:w="100" w:type="dxa"/>
              <w:end w:w="110" w:type="dxa"/>
            </w:tcMar>
            <w:shd w:fill="F2F6FA"/>
          </w:tcPr>
          <w:p>
            <w:pPr>
              <w:spacing w:after="0" w:line="240" w:lineRule="auto"/>
            </w:pPr>
            <w:r>
              <w:rPr>
                <w:sz w:val="17"/>
              </w:rPr>
              <w:t>Certification, lineage, score version and privacy/access checks</w:t>
            </w:r>
          </w:p>
        </w:tc>
        <w:tc>
          <w:tcPr>
            <w:tcW w:type="dxa" w:w="3960"/>
            <w:vAlign w:val="center"/>
            <w:tcMar>
              <w:top w:w="100" w:type="dxa"/>
              <w:start w:w="110" w:type="dxa"/>
              <w:bottom w:w="100" w:type="dxa"/>
              <w:end w:w="110" w:type="dxa"/>
            </w:tcMar>
            <w:shd w:fill="F2F6FA"/>
          </w:tcPr>
          <w:p>
            <w:pPr>
              <w:spacing w:after="0" w:line="240" w:lineRule="auto"/>
            </w:pPr>
            <w:r>
              <w:rPr>
                <w:sz w:val="17"/>
              </w:rPr>
              <w:t>Power BI and alerts continue using last certified snapshot</w:t>
            </w:r>
          </w:p>
        </w:tc>
      </w:tr>
    </w:tbl>
    <w:p>
      <w:pPr>
        <w:spacing w:after="40"/>
      </w:pPr>
    </w:p>
    <w:p>
      <w:r>
        <w:t>The audit catalogue records run dependencies, Git commit, data-contract version, input/output counts, test results and promotion status. Dev, test and production use separate storage, databases, identities and Key Vaults. Code promotes through CI/CD; data does not flow from development into production. Production backfills use the same pipeline with an explicit date range and approval.</w:t>
      </w:r>
    </w:p>
    <w:p>
      <w:pPr>
        <w:pStyle w:val="Heading1"/>
      </w:pPr>
      <w:r>
        <w:t>Source register and cadence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3240"/>
            <w:shd w:fill="17365D"/>
            <w:vAlign w:val="center"/>
            <w:tcMar>
              <w:top w:w="100" w:type="dxa"/>
              <w:start w:w="110" w:type="dxa"/>
              <w:bottom w:w="100" w:type="dxa"/>
              <w:end w:w="110" w:type="dxa"/>
            </w:tcMar>
          </w:tcPr>
          <w:p>
            <w:r>
              <w:rPr>
                <w:b/>
                <w:color w:val="FFFFFF"/>
                <w:sz w:val="18"/>
              </w:rPr>
              <w:t>Source</w:t>
            </w:r>
          </w:p>
        </w:tc>
        <w:tc>
          <w:tcPr>
            <w:tcW w:type="dxa" w:w="1800"/>
            <w:shd w:fill="17365D"/>
            <w:vAlign w:val="center"/>
            <w:tcMar>
              <w:top w:w="100" w:type="dxa"/>
              <w:start w:w="110" w:type="dxa"/>
              <w:bottom w:w="100" w:type="dxa"/>
              <w:end w:w="110" w:type="dxa"/>
            </w:tcMar>
          </w:tcPr>
          <w:p>
            <w:r>
              <w:rPr>
                <w:b/>
                <w:color w:val="FFFFFF"/>
                <w:sz w:val="18"/>
              </w:rPr>
              <w:t>Cadence</w:t>
            </w:r>
          </w:p>
        </w:tc>
        <w:tc>
          <w:tcPr>
            <w:tcW w:type="dxa" w:w="4536"/>
            <w:shd w:fill="17365D"/>
            <w:vAlign w:val="center"/>
            <w:tcMar>
              <w:top w:w="100" w:type="dxa"/>
              <w:start w:w="110" w:type="dxa"/>
              <w:bottom w:w="100" w:type="dxa"/>
              <w:end w:w="110" w:type="dxa"/>
            </w:tcMar>
          </w:tcPr>
          <w:p>
            <w:r>
              <w:rPr>
                <w:b/>
                <w:color w:val="FFFFFF"/>
                <w:sz w:val="18"/>
              </w:rPr>
              <w:t>Primary analytical use</w:t>
            </w:r>
          </w:p>
        </w:tc>
      </w:tr>
      <w:tr>
        <w:trPr>
          <w:cantSplit/>
        </w:trPr>
        <w:tc>
          <w:tcPr>
            <w:tcW w:type="dxa" w:w="3240"/>
            <w:vAlign w:val="center"/>
            <w:tcMar>
              <w:top w:w="100" w:type="dxa"/>
              <w:start w:w="110" w:type="dxa"/>
              <w:bottom w:w="100" w:type="dxa"/>
              <w:end w:w="110" w:type="dxa"/>
            </w:tcMar>
          </w:tcPr>
          <w:p>
            <w:pPr>
              <w:spacing w:after="0" w:line="240" w:lineRule="auto"/>
            </w:pPr>
            <w:r>
              <w:rPr>
                <w:sz w:val="17"/>
              </w:rPr>
              <w:t>Valuer-General Victoria sales</w:t>
            </w:r>
          </w:p>
        </w:tc>
        <w:tc>
          <w:tcPr>
            <w:tcW w:type="dxa" w:w="1800"/>
            <w:vAlign w:val="center"/>
            <w:tcMar>
              <w:top w:w="100" w:type="dxa"/>
              <w:start w:w="110" w:type="dxa"/>
              <w:bottom w:w="100" w:type="dxa"/>
              <w:end w:w="110" w:type="dxa"/>
            </w:tcMar>
          </w:tcPr>
          <w:p>
            <w:pPr>
              <w:spacing w:after="0" w:line="240" w:lineRule="auto"/>
            </w:pPr>
            <w:r>
              <w:rPr>
                <w:sz w:val="17"/>
              </w:rPr>
              <w:t>Quarterly and annual</w:t>
            </w:r>
          </w:p>
        </w:tc>
        <w:tc>
          <w:tcPr>
            <w:tcW w:type="dxa" w:w="4536"/>
            <w:vAlign w:val="center"/>
            <w:tcMar>
              <w:top w:w="100" w:type="dxa"/>
              <w:start w:w="110" w:type="dxa"/>
              <w:bottom w:w="100" w:type="dxa"/>
              <w:end w:w="110" w:type="dxa"/>
            </w:tcMar>
          </w:tcPr>
          <w:p>
            <w:pPr>
              <w:spacing w:after="0" w:line="240" w:lineRule="auto"/>
            </w:pPr>
            <w:r>
              <w:rPr>
                <w:sz w:val="17"/>
              </w:rPr>
              <w:t>Price, volume and historical growth</w:t>
            </w:r>
          </w:p>
        </w:tc>
      </w:tr>
      <w:tr>
        <w:trPr>
          <w:cantSplit/>
        </w:trPr>
        <w:tc>
          <w:tcPr>
            <w:tcW w:type="dxa" w:w="3240"/>
            <w:vAlign w:val="center"/>
            <w:tcMar>
              <w:top w:w="100" w:type="dxa"/>
              <w:start w:w="110" w:type="dxa"/>
              <w:bottom w:w="100" w:type="dxa"/>
              <w:end w:w="110" w:type="dxa"/>
            </w:tcMar>
            <w:shd w:fill="F2F6FA"/>
          </w:tcPr>
          <w:p>
            <w:pPr>
              <w:spacing w:after="0" w:line="240" w:lineRule="auto"/>
            </w:pPr>
            <w:r>
              <w:rPr>
                <w:sz w:val="17"/>
              </w:rPr>
              <w:t>Homes Victoria Rental Report</w:t>
            </w:r>
          </w:p>
        </w:tc>
        <w:tc>
          <w:tcPr>
            <w:tcW w:type="dxa" w:w="1800"/>
            <w:vAlign w:val="center"/>
            <w:tcMar>
              <w:top w:w="100" w:type="dxa"/>
              <w:start w:w="110" w:type="dxa"/>
              <w:bottom w:w="100" w:type="dxa"/>
              <w:end w:w="110" w:type="dxa"/>
            </w:tcMar>
            <w:shd w:fill="F2F6FA"/>
          </w:tcPr>
          <w:p>
            <w:pPr>
              <w:spacing w:after="0" w:line="240" w:lineRule="auto"/>
            </w:pPr>
            <w:r>
              <w:rPr>
                <w:sz w:val="17"/>
              </w:rPr>
              <w:t>Quarterly</w:t>
            </w:r>
          </w:p>
        </w:tc>
        <w:tc>
          <w:tcPr>
            <w:tcW w:type="dxa" w:w="4536"/>
            <w:vAlign w:val="center"/>
            <w:tcMar>
              <w:top w:w="100" w:type="dxa"/>
              <w:start w:w="110" w:type="dxa"/>
              <w:bottom w:w="100" w:type="dxa"/>
              <w:end w:w="110" w:type="dxa"/>
            </w:tcMar>
            <w:shd w:fill="F2F6FA"/>
          </w:tcPr>
          <w:p>
            <w:pPr>
              <w:spacing w:after="0" w:line="240" w:lineRule="auto"/>
            </w:pPr>
            <w:r>
              <w:rPr>
                <w:sz w:val="17"/>
              </w:rPr>
              <w:t>Rent levels and estimated gross yield</w:t>
            </w:r>
          </w:p>
        </w:tc>
      </w:tr>
      <w:tr>
        <w:trPr>
          <w:cantSplit/>
        </w:trPr>
        <w:tc>
          <w:tcPr>
            <w:tcW w:type="dxa" w:w="3240"/>
            <w:vAlign w:val="center"/>
            <w:tcMar>
              <w:top w:w="100" w:type="dxa"/>
              <w:start w:w="110" w:type="dxa"/>
              <w:bottom w:w="100" w:type="dxa"/>
              <w:end w:w="110" w:type="dxa"/>
            </w:tcMar>
          </w:tcPr>
          <w:p>
            <w:pPr>
              <w:spacing w:after="0" w:line="240" w:lineRule="auto"/>
            </w:pPr>
            <w:r>
              <w:rPr>
                <w:sz w:val="17"/>
              </w:rPr>
              <w:t>Victoria in Future</w:t>
            </w:r>
          </w:p>
        </w:tc>
        <w:tc>
          <w:tcPr>
            <w:tcW w:type="dxa" w:w="1800"/>
            <w:vAlign w:val="center"/>
            <w:tcMar>
              <w:top w:w="100" w:type="dxa"/>
              <w:start w:w="110" w:type="dxa"/>
              <w:bottom w:w="100" w:type="dxa"/>
              <w:end w:w="110" w:type="dxa"/>
            </w:tcMar>
          </w:tcPr>
          <w:p>
            <w:pPr>
              <w:spacing w:after="0" w:line="240" w:lineRule="auto"/>
            </w:pPr>
            <w:r>
              <w:rPr>
                <w:sz w:val="17"/>
              </w:rPr>
              <w:t>Release based</w:t>
            </w:r>
          </w:p>
        </w:tc>
        <w:tc>
          <w:tcPr>
            <w:tcW w:type="dxa" w:w="4536"/>
            <w:vAlign w:val="center"/>
            <w:tcMar>
              <w:top w:w="100" w:type="dxa"/>
              <w:start w:w="110" w:type="dxa"/>
              <w:bottom w:w="100" w:type="dxa"/>
              <w:end w:w="110" w:type="dxa"/>
            </w:tcMar>
          </w:tcPr>
          <w:p>
            <w:pPr>
              <w:spacing w:after="0" w:line="240" w:lineRule="auto"/>
            </w:pPr>
            <w:r>
              <w:rPr>
                <w:sz w:val="17"/>
              </w:rPr>
              <w:t>Population, household and dwelling scenarios</w:t>
            </w:r>
          </w:p>
        </w:tc>
      </w:tr>
      <w:tr>
        <w:trPr>
          <w:cantSplit/>
        </w:trPr>
        <w:tc>
          <w:tcPr>
            <w:tcW w:type="dxa" w:w="3240"/>
            <w:vAlign w:val="center"/>
            <w:tcMar>
              <w:top w:w="100" w:type="dxa"/>
              <w:start w:w="110" w:type="dxa"/>
              <w:bottom w:w="100" w:type="dxa"/>
              <w:end w:w="110" w:type="dxa"/>
            </w:tcMar>
            <w:shd w:fill="F2F6FA"/>
          </w:tcPr>
          <w:p>
            <w:pPr>
              <w:spacing w:after="0" w:line="240" w:lineRule="auto"/>
            </w:pPr>
            <w:r>
              <w:rPr>
                <w:sz w:val="17"/>
              </w:rPr>
              <w:t>ABS API and Building Approvals</w:t>
            </w:r>
          </w:p>
        </w:tc>
        <w:tc>
          <w:tcPr>
            <w:tcW w:type="dxa" w:w="1800"/>
            <w:vAlign w:val="center"/>
            <w:tcMar>
              <w:top w:w="100" w:type="dxa"/>
              <w:start w:w="110" w:type="dxa"/>
              <w:bottom w:w="100" w:type="dxa"/>
              <w:end w:w="110" w:type="dxa"/>
            </w:tcMar>
            <w:shd w:fill="F2F6FA"/>
          </w:tcPr>
          <w:p>
            <w:pPr>
              <w:spacing w:after="0" w:line="240" w:lineRule="auto"/>
            </w:pPr>
            <w:r>
              <w:rPr>
                <w:sz w:val="17"/>
              </w:rPr>
              <w:t>Monthly or release based</w:t>
            </w:r>
          </w:p>
        </w:tc>
        <w:tc>
          <w:tcPr>
            <w:tcW w:type="dxa" w:w="4536"/>
            <w:vAlign w:val="center"/>
            <w:tcMar>
              <w:top w:w="100" w:type="dxa"/>
              <w:start w:w="110" w:type="dxa"/>
              <w:bottom w:w="100" w:type="dxa"/>
              <w:end w:w="110" w:type="dxa"/>
            </w:tcMar>
            <w:shd w:fill="F2F6FA"/>
          </w:tcPr>
          <w:p>
            <w:pPr>
              <w:spacing w:after="0" w:line="240" w:lineRule="auto"/>
            </w:pPr>
            <w:r>
              <w:rPr>
                <w:sz w:val="17"/>
              </w:rPr>
              <w:t>Demand, income, tenure and supply</w:t>
            </w:r>
          </w:p>
        </w:tc>
      </w:tr>
      <w:tr>
        <w:trPr>
          <w:cantSplit/>
        </w:trPr>
        <w:tc>
          <w:tcPr>
            <w:tcW w:type="dxa" w:w="3240"/>
            <w:vAlign w:val="center"/>
            <w:tcMar>
              <w:top w:w="100" w:type="dxa"/>
              <w:start w:w="110" w:type="dxa"/>
              <w:bottom w:w="100" w:type="dxa"/>
              <w:end w:w="110" w:type="dxa"/>
            </w:tcMar>
          </w:tcPr>
          <w:p>
            <w:pPr>
              <w:spacing w:after="0" w:line="240" w:lineRule="auto"/>
            </w:pPr>
            <w:r>
              <w:rPr>
                <w:sz w:val="17"/>
              </w:rPr>
              <w:t>Vicmap Property and Planning</w:t>
            </w:r>
          </w:p>
        </w:tc>
        <w:tc>
          <w:tcPr>
            <w:tcW w:type="dxa" w:w="1800"/>
            <w:vAlign w:val="center"/>
            <w:tcMar>
              <w:top w:w="100" w:type="dxa"/>
              <w:start w:w="110" w:type="dxa"/>
              <w:bottom w:w="100" w:type="dxa"/>
              <w:end w:w="110" w:type="dxa"/>
            </w:tcMar>
          </w:tcPr>
          <w:p>
            <w:pPr>
              <w:spacing w:after="0" w:line="240" w:lineRule="auto"/>
            </w:pPr>
            <w:r>
              <w:rPr>
                <w:sz w:val="17"/>
              </w:rPr>
              <w:t>As often as weekly</w:t>
            </w:r>
          </w:p>
        </w:tc>
        <w:tc>
          <w:tcPr>
            <w:tcW w:type="dxa" w:w="4536"/>
            <w:vAlign w:val="center"/>
            <w:tcMar>
              <w:top w:w="100" w:type="dxa"/>
              <w:start w:w="110" w:type="dxa"/>
              <w:bottom w:w="100" w:type="dxa"/>
              <w:end w:w="110" w:type="dxa"/>
            </w:tcMar>
          </w:tcPr>
          <w:p>
            <w:pPr>
              <w:spacing w:after="0" w:line="240" w:lineRule="auto"/>
            </w:pPr>
            <w:r>
              <w:rPr>
                <w:sz w:val="17"/>
              </w:rPr>
              <w:t>Parcels, zones, overlays and boundaries</w:t>
            </w:r>
          </w:p>
        </w:tc>
      </w:tr>
      <w:tr>
        <w:trPr>
          <w:cantSplit/>
        </w:trPr>
        <w:tc>
          <w:tcPr>
            <w:tcW w:type="dxa" w:w="3240"/>
            <w:vAlign w:val="center"/>
            <w:tcMar>
              <w:top w:w="100" w:type="dxa"/>
              <w:start w:w="110" w:type="dxa"/>
              <w:bottom w:w="100" w:type="dxa"/>
              <w:end w:w="110" w:type="dxa"/>
            </w:tcMar>
            <w:shd w:fill="F2F6FA"/>
          </w:tcPr>
          <w:p>
            <w:pPr>
              <w:spacing w:after="0" w:line="240" w:lineRule="auto"/>
            </w:pPr>
            <w:r>
              <w:rPr>
                <w:sz w:val="17"/>
              </w:rPr>
              <w:t>Transport Victoria GTFS</w:t>
            </w:r>
          </w:p>
        </w:tc>
        <w:tc>
          <w:tcPr>
            <w:tcW w:type="dxa" w:w="1800"/>
            <w:vAlign w:val="center"/>
            <w:tcMar>
              <w:top w:w="100" w:type="dxa"/>
              <w:start w:w="110" w:type="dxa"/>
              <w:bottom w:w="100" w:type="dxa"/>
              <w:end w:w="110" w:type="dxa"/>
            </w:tcMar>
            <w:shd w:fill="F2F6FA"/>
          </w:tcPr>
          <w:p>
            <w:pPr>
              <w:spacing w:after="0" w:line="240" w:lineRule="auto"/>
            </w:pPr>
            <w:r>
              <w:rPr>
                <w:sz w:val="17"/>
              </w:rPr>
              <w:t>Near real time to static release</w:t>
            </w:r>
          </w:p>
        </w:tc>
        <w:tc>
          <w:tcPr>
            <w:tcW w:type="dxa" w:w="4536"/>
            <w:vAlign w:val="center"/>
            <w:tcMar>
              <w:top w:w="100" w:type="dxa"/>
              <w:start w:w="110" w:type="dxa"/>
              <w:bottom w:w="100" w:type="dxa"/>
              <w:end w:w="110" w:type="dxa"/>
            </w:tcMar>
            <w:shd w:fill="F2F6FA"/>
          </w:tcPr>
          <w:p>
            <w:pPr>
              <w:spacing w:after="0" w:line="240" w:lineRule="auto"/>
            </w:pPr>
            <w:r>
              <w:rPr>
                <w:sz w:val="17"/>
              </w:rPr>
              <w:t>Accessibility and reliability aggregates</w:t>
            </w:r>
          </w:p>
        </w:tc>
      </w:tr>
      <w:tr>
        <w:trPr>
          <w:cantSplit/>
        </w:trPr>
        <w:tc>
          <w:tcPr>
            <w:tcW w:type="dxa" w:w="3240"/>
            <w:vAlign w:val="center"/>
            <w:tcMar>
              <w:top w:w="100" w:type="dxa"/>
              <w:start w:w="110" w:type="dxa"/>
              <w:bottom w:w="100" w:type="dxa"/>
              <w:end w:w="110" w:type="dxa"/>
            </w:tcMar>
          </w:tcPr>
          <w:p>
            <w:pPr>
              <w:spacing w:after="0" w:line="240" w:lineRule="auto"/>
            </w:pPr>
            <w:r>
              <w:rPr>
                <w:sz w:val="17"/>
              </w:rPr>
              <w:t>Infrastructure Pipeline and UDP</w:t>
            </w:r>
          </w:p>
        </w:tc>
        <w:tc>
          <w:tcPr>
            <w:tcW w:type="dxa" w:w="1800"/>
            <w:vAlign w:val="center"/>
            <w:tcMar>
              <w:top w:w="100" w:type="dxa"/>
              <w:start w:w="110" w:type="dxa"/>
              <w:bottom w:w="100" w:type="dxa"/>
              <w:end w:w="110" w:type="dxa"/>
            </w:tcMar>
          </w:tcPr>
          <w:p>
            <w:pPr>
              <w:spacing w:after="0" w:line="240" w:lineRule="auto"/>
            </w:pPr>
            <w:r>
              <w:rPr>
                <w:sz w:val="17"/>
              </w:rPr>
              <w:t>Annual or budget release</w:t>
            </w:r>
          </w:p>
        </w:tc>
        <w:tc>
          <w:tcPr>
            <w:tcW w:type="dxa" w:w="4536"/>
            <w:vAlign w:val="center"/>
            <w:tcMar>
              <w:top w:w="100" w:type="dxa"/>
              <w:start w:w="110" w:type="dxa"/>
              <w:bottom w:w="100" w:type="dxa"/>
              <w:end w:w="110" w:type="dxa"/>
            </w:tcMar>
          </w:tcPr>
          <w:p>
            <w:pPr>
              <w:spacing w:after="0" w:line="240" w:lineRule="auto"/>
            </w:pPr>
            <w:r>
              <w:rPr>
                <w:sz w:val="17"/>
              </w:rPr>
              <w:t>Committed projects and future housing supply</w:t>
            </w:r>
          </w:p>
        </w:tc>
      </w:tr>
      <w:tr>
        <w:trPr>
          <w:cantSplit/>
        </w:trPr>
        <w:tc>
          <w:tcPr>
            <w:tcW w:type="dxa" w:w="3240"/>
            <w:vAlign w:val="center"/>
            <w:tcMar>
              <w:top w:w="100" w:type="dxa"/>
              <w:start w:w="110" w:type="dxa"/>
              <w:bottom w:w="100" w:type="dxa"/>
              <w:end w:w="110" w:type="dxa"/>
            </w:tcMar>
            <w:shd w:fill="F2F6FA"/>
          </w:tcPr>
          <w:p>
            <w:pPr>
              <w:spacing w:after="0" w:line="240" w:lineRule="auto"/>
            </w:pPr>
            <w:r>
              <w:rPr>
                <w:sz w:val="17"/>
              </w:rPr>
              <w:t>Crime, schools and hazards</w:t>
            </w:r>
          </w:p>
        </w:tc>
        <w:tc>
          <w:tcPr>
            <w:tcW w:type="dxa" w:w="1800"/>
            <w:vAlign w:val="center"/>
            <w:tcMar>
              <w:top w:w="100" w:type="dxa"/>
              <w:start w:w="110" w:type="dxa"/>
              <w:bottom w:w="100" w:type="dxa"/>
              <w:end w:w="110" w:type="dxa"/>
            </w:tcMar>
            <w:shd w:fill="F2F6FA"/>
          </w:tcPr>
          <w:p>
            <w:pPr>
              <w:spacing w:after="0" w:line="240" w:lineRule="auto"/>
            </w:pPr>
            <w:r>
              <w:rPr>
                <w:sz w:val="17"/>
              </w:rPr>
              <w:t>Quarterly, annual or weekly</w:t>
            </w:r>
          </w:p>
        </w:tc>
        <w:tc>
          <w:tcPr>
            <w:tcW w:type="dxa" w:w="4536"/>
            <w:vAlign w:val="center"/>
            <w:tcMar>
              <w:top w:w="100" w:type="dxa"/>
              <w:start w:w="110" w:type="dxa"/>
              <w:bottom w:w="100" w:type="dxa"/>
              <w:end w:w="110" w:type="dxa"/>
            </w:tcMar>
            <w:shd w:fill="F2F6FA"/>
          </w:tcPr>
          <w:p>
            <w:pPr>
              <w:spacing w:after="0" w:line="240" w:lineRule="auto"/>
            </w:pPr>
            <w:r>
              <w:rPr>
                <w:sz w:val="17"/>
              </w:rPr>
              <w:t>Context, amenities and constraint flags</w:t>
            </w:r>
          </w:p>
        </w:tc>
      </w:tr>
    </w:tbl>
    <w:p>
      <w:pPr>
        <w:spacing w:after="40"/>
      </w:pPr>
    </w:p>
    <w:p>
      <w:r>
        <w:t>The Valuer-General reports approximately 93 percent of expected settled sales in the newest quarter. Settlement lag, low transaction counts and changing dwelling mix can distort medians. Retain publication date and revision history and display a provisional flag.</w:t>
      </w:r>
    </w:p>
    <w:p>
      <w:r>
        <w:t>Recommended scheduler: GTFS sample every 5-15 minutes only if needed; disruptions hourly; a 12-hour lightweight metadata poll for changed files; Vicmap weekly; approvals monthly; sales, rents and crime quarterly; infrastructure and UDP annually. Never download or transform unchanged content solely because a cron fired.</w:t>
      </w:r>
    </w:p>
    <w:p>
      <w:pPr>
        <w:pStyle w:val="Heading1"/>
      </w:pPr>
      <w:r>
        <w:t>Repository and development environment</w:t>
      </w:r>
    </w:p>
    <w:p>
      <w:r>
        <w:t>Create a private GitHub repository first. Publish code later with synthetic fixtures only. Use protected main, pull requests, required tests and code-owner review for infrastructure and SQL migrations.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3096"/>
            <w:shd w:fill="17365D"/>
            <w:vAlign w:val="center"/>
            <w:tcMar>
              <w:top w:w="100" w:type="dxa"/>
              <w:start w:w="110" w:type="dxa"/>
              <w:bottom w:w="100" w:type="dxa"/>
              <w:end w:w="110" w:type="dxa"/>
            </w:tcMar>
          </w:tcPr>
          <w:p>
            <w:r>
              <w:rPr>
                <w:b/>
                <w:color w:val="FFFFFF"/>
                <w:sz w:val="18"/>
              </w:rPr>
              <w:t>Path</w:t>
            </w:r>
          </w:p>
        </w:tc>
        <w:tc>
          <w:tcPr>
            <w:tcW w:type="dxa" w:w="6480"/>
            <w:shd w:fill="17365D"/>
            <w:vAlign w:val="center"/>
            <w:tcMar>
              <w:top w:w="100" w:type="dxa"/>
              <w:start w:w="110" w:type="dxa"/>
              <w:bottom w:w="100" w:type="dxa"/>
              <w:end w:w="110" w:type="dxa"/>
            </w:tcMar>
          </w:tcPr>
          <w:p>
            <w:r>
              <w:rPr>
                <w:b/>
                <w:color w:val="FFFFFF"/>
                <w:sz w:val="18"/>
              </w:rPr>
              <w:t>Contents</w:t>
            </w:r>
          </w:p>
        </w:tc>
      </w:tr>
      <w:tr>
        <w:trPr>
          <w:cantSplit/>
        </w:trPr>
        <w:tc>
          <w:tcPr>
            <w:tcW w:type="dxa" w:w="3096"/>
            <w:vAlign w:val="center"/>
            <w:tcMar>
              <w:top w:w="100" w:type="dxa"/>
              <w:start w:w="110" w:type="dxa"/>
              <w:bottom w:w="100" w:type="dxa"/>
              <w:end w:w="110" w:type="dxa"/>
            </w:tcMar>
          </w:tcPr>
          <w:p>
            <w:pPr>
              <w:spacing w:after="0" w:line="240" w:lineRule="auto"/>
            </w:pPr>
            <w:r>
              <w:rPr>
                <w:sz w:val="17"/>
              </w:rPr>
              <w:t>infra/bicep</w:t>
            </w:r>
          </w:p>
        </w:tc>
        <w:tc>
          <w:tcPr>
            <w:tcW w:type="dxa" w:w="6480"/>
            <w:vAlign w:val="center"/>
            <w:tcMar>
              <w:top w:w="100" w:type="dxa"/>
              <w:start w:w="110" w:type="dxa"/>
              <w:bottom w:w="100" w:type="dxa"/>
              <w:end w:w="110" w:type="dxa"/>
            </w:tcMar>
          </w:tcPr>
          <w:p>
            <w:pPr>
              <w:spacing w:after="0" w:line="240" w:lineRule="auto"/>
            </w:pPr>
            <w:r>
              <w:rPr>
                <w:sz w:val="17"/>
              </w:rPr>
              <w:t>Resources, role assignments, budgets and environment parameters</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src/ingestion</w:t>
            </w:r>
          </w:p>
        </w:tc>
        <w:tc>
          <w:tcPr>
            <w:tcW w:type="dxa" w:w="6480"/>
            <w:vAlign w:val="center"/>
            <w:tcMar>
              <w:top w:w="100" w:type="dxa"/>
              <w:start w:w="110" w:type="dxa"/>
              <w:bottom w:w="100" w:type="dxa"/>
              <w:end w:w="110" w:type="dxa"/>
            </w:tcMar>
            <w:shd w:fill="F2F6FA"/>
          </w:tcPr>
          <w:p>
            <w:pPr>
              <w:spacing w:after="0" w:line="240" w:lineRule="auto"/>
            </w:pPr>
            <w:r>
              <w:rPr>
                <w:sz w:val="17"/>
              </w:rPr>
              <w:t>One adapter per publisher plus shared HTTP and manifest code</w:t>
            </w:r>
          </w:p>
        </w:tc>
      </w:tr>
      <w:tr>
        <w:trPr>
          <w:cantSplit/>
        </w:trPr>
        <w:tc>
          <w:tcPr>
            <w:tcW w:type="dxa" w:w="3096"/>
            <w:vAlign w:val="center"/>
            <w:tcMar>
              <w:top w:w="100" w:type="dxa"/>
              <w:start w:w="110" w:type="dxa"/>
              <w:bottom w:w="100" w:type="dxa"/>
              <w:end w:w="110" w:type="dxa"/>
            </w:tcMar>
          </w:tcPr>
          <w:p>
            <w:pPr>
              <w:spacing w:after="0" w:line="240" w:lineRule="auto"/>
            </w:pPr>
            <w:r>
              <w:rPr>
                <w:sz w:val="17"/>
              </w:rPr>
              <w:t>src/transforms and src/quality</w:t>
            </w:r>
          </w:p>
        </w:tc>
        <w:tc>
          <w:tcPr>
            <w:tcW w:type="dxa" w:w="6480"/>
            <w:vAlign w:val="center"/>
            <w:tcMar>
              <w:top w:w="100" w:type="dxa"/>
              <w:start w:w="110" w:type="dxa"/>
              <w:bottom w:w="100" w:type="dxa"/>
              <w:end w:w="110" w:type="dxa"/>
            </w:tcMar>
          </w:tcPr>
          <w:p>
            <w:pPr>
              <w:spacing w:after="0" w:line="240" w:lineRule="auto"/>
            </w:pPr>
            <w:r>
              <w:rPr>
                <w:sz w:val="17"/>
              </w:rPr>
              <w:t>Canonical models, crosswalks, validations and quarantine</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src/scoring and src/alerts</w:t>
            </w:r>
          </w:p>
        </w:tc>
        <w:tc>
          <w:tcPr>
            <w:tcW w:type="dxa" w:w="6480"/>
            <w:vAlign w:val="center"/>
            <w:tcMar>
              <w:top w:w="100" w:type="dxa"/>
              <w:start w:w="110" w:type="dxa"/>
              <w:bottom w:w="100" w:type="dxa"/>
              <w:end w:w="110" w:type="dxa"/>
            </w:tcMar>
            <w:shd w:fill="F2F6FA"/>
          </w:tcPr>
          <w:p>
            <w:pPr>
              <w:spacing w:after="0" w:line="240" w:lineRule="auto"/>
            </w:pPr>
            <w:r>
              <w:rPr>
                <w:sz w:val="17"/>
              </w:rPr>
              <w:t>Versioned features, weights, scenarios and Resend rules</w:t>
            </w:r>
          </w:p>
        </w:tc>
      </w:tr>
      <w:tr>
        <w:trPr>
          <w:cantSplit/>
        </w:trPr>
        <w:tc>
          <w:tcPr>
            <w:tcW w:type="dxa" w:w="3096"/>
            <w:vAlign w:val="center"/>
            <w:tcMar>
              <w:top w:w="100" w:type="dxa"/>
              <w:start w:w="110" w:type="dxa"/>
              <w:bottom w:w="100" w:type="dxa"/>
              <w:end w:w="110" w:type="dxa"/>
            </w:tcMar>
          </w:tcPr>
          <w:p>
            <w:pPr>
              <w:spacing w:after="0" w:line="240" w:lineRule="auto"/>
            </w:pPr>
            <w:r>
              <w:rPr>
                <w:sz w:val="17"/>
              </w:rPr>
              <w:t>sql/migrations</w:t>
            </w:r>
          </w:p>
        </w:tc>
        <w:tc>
          <w:tcPr>
            <w:tcW w:type="dxa" w:w="6480"/>
            <w:vAlign w:val="center"/>
            <w:tcMar>
              <w:top w:w="100" w:type="dxa"/>
              <w:start w:w="110" w:type="dxa"/>
              <w:bottom w:w="100" w:type="dxa"/>
              <w:end w:w="110" w:type="dxa"/>
            </w:tcMar>
          </w:tcPr>
          <w:p>
            <w:pPr>
              <w:spacing w:after="0" w:line="240" w:lineRule="auto"/>
            </w:pPr>
            <w:r>
              <w:rPr>
                <w:sz w:val="17"/>
              </w:rPr>
              <w:t>Schemas, tables, indexes, procedures, roles and certified views</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powerbi</w:t>
            </w:r>
          </w:p>
        </w:tc>
        <w:tc>
          <w:tcPr>
            <w:tcW w:type="dxa" w:w="6480"/>
            <w:vAlign w:val="center"/>
            <w:tcMar>
              <w:top w:w="100" w:type="dxa"/>
              <w:start w:w="110" w:type="dxa"/>
              <w:bottom w:w="100" w:type="dxa"/>
              <w:end w:w="110" w:type="dxa"/>
            </w:tcMar>
            <w:shd w:fill="F2F6FA"/>
          </w:tcPr>
          <w:p>
            <w:pPr>
              <w:spacing w:after="0" w:line="240" w:lineRule="auto"/>
            </w:pPr>
            <w:r>
              <w:rPr>
                <w:sz w:val="17"/>
              </w:rPr>
              <w:t>PBIP semantic model and report source</w:t>
            </w:r>
          </w:p>
        </w:tc>
      </w:tr>
      <w:tr>
        <w:trPr>
          <w:cantSplit/>
        </w:trPr>
        <w:tc>
          <w:tcPr>
            <w:tcW w:type="dxa" w:w="3096"/>
            <w:vAlign w:val="center"/>
            <w:tcMar>
              <w:top w:w="100" w:type="dxa"/>
              <w:start w:w="110" w:type="dxa"/>
              <w:bottom w:w="100" w:type="dxa"/>
              <w:end w:w="110" w:type="dxa"/>
            </w:tcMar>
          </w:tcPr>
          <w:p>
            <w:pPr>
              <w:spacing w:after="0" w:line="240" w:lineRule="auto"/>
            </w:pPr>
            <w:r>
              <w:rPr>
                <w:sz w:val="17"/>
              </w:rPr>
              <w:t>tests</w:t>
            </w:r>
          </w:p>
        </w:tc>
        <w:tc>
          <w:tcPr>
            <w:tcW w:type="dxa" w:w="6480"/>
            <w:vAlign w:val="center"/>
            <w:tcMar>
              <w:top w:w="100" w:type="dxa"/>
              <w:start w:w="110" w:type="dxa"/>
              <w:bottom w:w="100" w:type="dxa"/>
              <w:end w:w="110" w:type="dxa"/>
            </w:tcMar>
          </w:tcPr>
          <w:p>
            <w:pPr>
              <w:spacing w:after="0" w:line="240" w:lineRule="auto"/>
            </w:pPr>
            <w:r>
              <w:rPr>
                <w:sz w:val="17"/>
              </w:rPr>
              <w:t>Unit, contract, regression, integration and SQL tests</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.github/workflows</w:t>
            </w:r>
          </w:p>
        </w:tc>
        <w:tc>
          <w:tcPr>
            <w:tcW w:type="dxa" w:w="6480"/>
            <w:vAlign w:val="center"/>
            <w:tcMar>
              <w:top w:w="100" w:type="dxa"/>
              <w:start w:w="110" w:type="dxa"/>
              <w:bottom w:w="100" w:type="dxa"/>
              <w:end w:w="110" w:type="dxa"/>
            </w:tcMar>
            <w:shd w:fill="F2F6FA"/>
          </w:tcPr>
          <w:p>
            <w:pPr>
              <w:spacing w:after="0" w:line="240" w:lineRule="auto"/>
            </w:pPr>
            <w:r>
              <w:rPr>
                <w:sz w:val="17"/>
              </w:rPr>
              <w:t>Lint/test, IaC validation, deploy and manual backfill</w:t>
            </w:r>
          </w:p>
        </w:tc>
      </w:tr>
      <w:tr>
        <w:trPr>
          <w:cantSplit/>
        </w:trPr>
        <w:tc>
          <w:tcPr>
            <w:tcW w:type="dxa" w:w="3096"/>
            <w:vAlign w:val="center"/>
            <w:tcMar>
              <w:top w:w="100" w:type="dxa"/>
              <w:start w:w="110" w:type="dxa"/>
              <w:bottom w:w="100" w:type="dxa"/>
              <w:end w:w="110" w:type="dxa"/>
            </w:tcMar>
          </w:tcPr>
          <w:p>
            <w:pPr>
              <w:spacing w:after="0" w:line="240" w:lineRule="auto"/>
            </w:pPr>
            <w:r>
              <w:rPr>
                <w:sz w:val="17"/>
              </w:rPr>
              <w:t>docs</w:t>
            </w:r>
          </w:p>
        </w:tc>
        <w:tc>
          <w:tcPr>
            <w:tcW w:type="dxa" w:w="6480"/>
            <w:vAlign w:val="center"/>
            <w:tcMar>
              <w:top w:w="100" w:type="dxa"/>
              <w:start w:w="110" w:type="dxa"/>
              <w:bottom w:w="100" w:type="dxa"/>
              <w:end w:w="110" w:type="dxa"/>
            </w:tcMar>
          </w:tcPr>
          <w:p>
            <w:pPr>
              <w:spacing w:after="0" w:line="240" w:lineRule="auto"/>
            </w:pPr>
            <w:r>
              <w:rPr>
                <w:sz w:val="17"/>
              </w:rPr>
              <w:t>ADRs, data dictionary, lineage, runbooks and licences</w:t>
            </w:r>
          </w:p>
        </w:tc>
      </w:tr>
    </w:tbl>
    <w:p>
      <w:pPr>
        <w:spacing w:after="40"/>
      </w:pPr>
    </w:p>
    <w:p>
      <w:r>
        <w:t>Docker Compose should run the pinned Python environment, Azurite and a local SQL-compatible database for interface tests. Run containers as non-root and inject local secrets from an ignored environment file. Production remains managed Azure SQL.</w:t>
      </w:r>
    </w:p>
    <w:p>
      <w:pPr>
        <w:pStyle w:val="Heading1"/>
      </w:pPr>
      <w:r>
        <w:t>Azure resource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1872"/>
            <w:shd w:fill="17365D"/>
            <w:vAlign w:val="center"/>
            <w:tcMar>
              <w:top w:w="100" w:type="dxa"/>
              <w:start w:w="110" w:type="dxa"/>
              <w:bottom w:w="100" w:type="dxa"/>
              <w:end w:w="110" w:type="dxa"/>
            </w:tcMar>
          </w:tcPr>
          <w:p>
            <w:r>
              <w:rPr>
                <w:b/>
                <w:color w:val="FFFFFF"/>
                <w:sz w:val="18"/>
              </w:rPr>
              <w:t>Decision</w:t>
            </w:r>
          </w:p>
        </w:tc>
        <w:tc>
          <w:tcPr>
            <w:tcW w:type="dxa" w:w="3384"/>
            <w:shd w:fill="17365D"/>
            <w:vAlign w:val="center"/>
            <w:tcMar>
              <w:top w:w="100" w:type="dxa"/>
              <w:start w:w="110" w:type="dxa"/>
              <w:bottom w:w="100" w:type="dxa"/>
              <w:end w:w="110" w:type="dxa"/>
            </w:tcMar>
          </w:tcPr>
          <w:p>
            <w:r>
              <w:rPr>
                <w:b/>
                <w:color w:val="FFFFFF"/>
                <w:sz w:val="18"/>
              </w:rPr>
              <w:t>MVP choice</w:t>
            </w:r>
          </w:p>
        </w:tc>
        <w:tc>
          <w:tcPr>
            <w:tcW w:type="dxa" w:w="4320"/>
            <w:shd w:fill="17365D"/>
            <w:vAlign w:val="center"/>
            <w:tcMar>
              <w:top w:w="100" w:type="dxa"/>
              <w:start w:w="110" w:type="dxa"/>
              <w:bottom w:w="100" w:type="dxa"/>
              <w:end w:w="110" w:type="dxa"/>
            </w:tcMar>
          </w:tcPr>
          <w:p>
            <w:r>
              <w:rPr>
                <w:b/>
                <w:color w:val="FFFFFF"/>
                <w:sz w:val="18"/>
              </w:rPr>
              <w:t>Trigger to change</w:t>
            </w:r>
          </w:p>
        </w:tc>
      </w:tr>
      <w:tr>
        <w:trPr>
          <w:cantSplit/>
        </w:trPr>
        <w:tc>
          <w:tcPr>
            <w:tcW w:type="dxa" w:w="1872"/>
            <w:vAlign w:val="center"/>
            <w:tcMar>
              <w:top w:w="100" w:type="dxa"/>
              <w:start w:w="110" w:type="dxa"/>
              <w:bottom w:w="100" w:type="dxa"/>
              <w:end w:w="110" w:type="dxa"/>
            </w:tcMar>
          </w:tcPr>
          <w:p>
            <w:pPr>
              <w:spacing w:after="0" w:line="240" w:lineRule="auto"/>
            </w:pPr>
            <w:r>
              <w:rPr>
                <w:sz w:val="17"/>
              </w:rPr>
              <w:t>Orchestration</w:t>
            </w:r>
          </w:p>
        </w:tc>
        <w:tc>
          <w:tcPr>
            <w:tcW w:type="dxa" w:w="3384"/>
            <w:vAlign w:val="center"/>
            <w:tcMar>
              <w:top w:w="100" w:type="dxa"/>
              <w:start w:w="110" w:type="dxa"/>
              <w:bottom w:w="100" w:type="dxa"/>
              <w:end w:w="110" w:type="dxa"/>
            </w:tcMar>
          </w:tcPr>
          <w:p>
            <w:pPr>
              <w:spacing w:after="0" w:line="240" w:lineRule="auto"/>
            </w:pPr>
            <w:r>
              <w:rPr>
                <w:sz w:val="17"/>
              </w:rPr>
              <w:t>Azure Functions timers</w:t>
            </w:r>
          </w:p>
        </w:tc>
        <w:tc>
          <w:tcPr>
            <w:tcW w:type="dxa" w:w="4320"/>
            <w:vAlign w:val="center"/>
            <w:tcMar>
              <w:top w:w="100" w:type="dxa"/>
              <w:start w:w="110" w:type="dxa"/>
              <w:bottom w:w="100" w:type="dxa"/>
              <w:end w:w="110" w:type="dxa"/>
            </w:tcMar>
          </w:tcPr>
          <w:p>
            <w:pPr>
              <w:spacing w:after="0" w:line="240" w:lineRule="auto"/>
            </w:pPr>
            <w:r>
              <w:rPr>
                <w:sz w:val="17"/>
              </w:rPr>
              <w:t>Add Data Factory when dependencies, monitoring or non-code operation becomes burdensome</w:t>
            </w:r>
          </w:p>
        </w:tc>
      </w:tr>
      <w:tr>
        <w:trPr>
          <w:cantSplit/>
        </w:trPr>
        <w:tc>
          <w:tcPr>
            <w:tcW w:type="dxa" w:w="1872"/>
            <w:vAlign w:val="center"/>
            <w:tcMar>
              <w:top w:w="100" w:type="dxa"/>
              <w:start w:w="110" w:type="dxa"/>
              <w:bottom w:w="100" w:type="dxa"/>
              <w:end w:w="110" w:type="dxa"/>
            </w:tcMar>
            <w:shd w:fill="F2F6FA"/>
          </w:tcPr>
          <w:p>
            <w:pPr>
              <w:spacing w:after="0" w:line="240" w:lineRule="auto"/>
            </w:pPr>
            <w:r>
              <w:rPr>
                <w:sz w:val="17"/>
              </w:rPr>
              <w:t>Database</w:t>
            </w:r>
          </w:p>
        </w:tc>
        <w:tc>
          <w:tcPr>
            <w:tcW w:type="dxa" w:w="3384"/>
            <w:vAlign w:val="center"/>
            <w:tcMar>
              <w:top w:w="100" w:type="dxa"/>
              <w:start w:w="110" w:type="dxa"/>
              <w:bottom w:w="100" w:type="dxa"/>
              <w:end w:w="110" w:type="dxa"/>
            </w:tcMar>
            <w:shd w:fill="F2F6FA"/>
          </w:tcPr>
          <w:p>
            <w:pPr>
              <w:spacing w:after="0" w:line="240" w:lineRule="auto"/>
            </w:pPr>
            <w:r>
              <w:rPr>
                <w:sz w:val="17"/>
              </w:rPr>
              <w:t>Azure SQL General Purpose serverless</w:t>
            </w:r>
          </w:p>
        </w:tc>
        <w:tc>
          <w:tcPr>
            <w:tcW w:type="dxa" w:w="4320"/>
            <w:vAlign w:val="center"/>
            <w:tcMar>
              <w:top w:w="100" w:type="dxa"/>
              <w:start w:w="110" w:type="dxa"/>
              <w:bottom w:w="100" w:type="dxa"/>
              <w:end w:w="110" w:type="dxa"/>
            </w:tcMar>
            <w:shd w:fill="F2F6FA"/>
          </w:tcPr>
          <w:p>
            <w:pPr>
              <w:spacing w:after="0" w:line="240" w:lineRule="auto"/>
            </w:pPr>
            <w:r>
              <w:rPr>
                <w:sz w:val="17"/>
              </w:rPr>
              <w:t>Move to provisioned compute when usage is sustained or warm-up harms reporting</w:t>
            </w:r>
          </w:p>
        </w:tc>
      </w:tr>
      <w:tr>
        <w:trPr>
          <w:cantSplit/>
        </w:trPr>
        <w:tc>
          <w:tcPr>
            <w:tcW w:type="dxa" w:w="1872"/>
            <w:vAlign w:val="center"/>
            <w:tcMar>
              <w:top w:w="100" w:type="dxa"/>
              <w:start w:w="110" w:type="dxa"/>
              <w:bottom w:w="100" w:type="dxa"/>
              <w:end w:w="110" w:type="dxa"/>
            </w:tcMar>
          </w:tcPr>
          <w:p>
            <w:pPr>
              <w:spacing w:after="0" w:line="240" w:lineRule="auto"/>
            </w:pPr>
            <w:r>
              <w:rPr>
                <w:sz w:val="17"/>
              </w:rPr>
              <w:t>Lake</w:t>
            </w:r>
          </w:p>
        </w:tc>
        <w:tc>
          <w:tcPr>
            <w:tcW w:type="dxa" w:w="3384"/>
            <w:vAlign w:val="center"/>
            <w:tcMar>
              <w:top w:w="100" w:type="dxa"/>
              <w:start w:w="110" w:type="dxa"/>
              <w:bottom w:w="100" w:type="dxa"/>
              <w:end w:w="110" w:type="dxa"/>
            </w:tcMar>
          </w:tcPr>
          <w:p>
            <w:pPr>
              <w:spacing w:after="0" w:line="240" w:lineRule="auto"/>
            </w:pPr>
            <w:r>
              <w:rPr>
                <w:sz w:val="17"/>
              </w:rPr>
              <w:t>ADLS Gen2</w:t>
            </w:r>
          </w:p>
        </w:tc>
        <w:tc>
          <w:tcPr>
            <w:tcW w:type="dxa" w:w="4320"/>
            <w:vAlign w:val="center"/>
            <w:tcMar>
              <w:top w:w="100" w:type="dxa"/>
              <w:start w:w="110" w:type="dxa"/>
              <w:bottom w:w="100" w:type="dxa"/>
              <w:end w:w="110" w:type="dxa"/>
            </w:tcMar>
          </w:tcPr>
          <w:p>
            <w:pPr>
              <w:spacing w:after="0" w:line="240" w:lineRule="auto"/>
            </w:pPr>
            <w:r>
              <w:rPr>
                <w:sz w:val="17"/>
              </w:rPr>
              <w:t>Retain; partition and lifecycle as history grows</w:t>
            </w:r>
          </w:p>
        </w:tc>
      </w:tr>
      <w:tr>
        <w:trPr>
          <w:cantSplit/>
        </w:trPr>
        <w:tc>
          <w:tcPr>
            <w:tcW w:type="dxa" w:w="1872"/>
            <w:vAlign w:val="center"/>
            <w:tcMar>
              <w:top w:w="100" w:type="dxa"/>
              <w:start w:w="110" w:type="dxa"/>
              <w:bottom w:w="100" w:type="dxa"/>
              <w:end w:w="110" w:type="dxa"/>
            </w:tcMar>
            <w:shd w:fill="F2F6FA"/>
          </w:tcPr>
          <w:p>
            <w:pPr>
              <w:spacing w:after="0" w:line="240" w:lineRule="auto"/>
            </w:pPr>
            <w:r>
              <w:rPr>
                <w:sz w:val="17"/>
              </w:rPr>
              <w:t>Transform</w:t>
            </w:r>
          </w:p>
        </w:tc>
        <w:tc>
          <w:tcPr>
            <w:tcW w:type="dxa" w:w="3384"/>
            <w:vAlign w:val="center"/>
            <w:tcMar>
              <w:top w:w="100" w:type="dxa"/>
              <w:start w:w="110" w:type="dxa"/>
              <w:bottom w:w="100" w:type="dxa"/>
              <w:end w:w="110" w:type="dxa"/>
            </w:tcMar>
            <w:shd w:fill="F2F6FA"/>
          </w:tcPr>
          <w:p>
            <w:pPr>
              <w:spacing w:after="0" w:line="240" w:lineRule="auto"/>
            </w:pPr>
            <w:r>
              <w:rPr>
                <w:sz w:val="17"/>
              </w:rPr>
              <w:t>Pandas or Polars plus SQL</w:t>
            </w:r>
          </w:p>
        </w:tc>
        <w:tc>
          <w:tcPr>
            <w:tcW w:type="dxa" w:w="4320"/>
            <w:vAlign w:val="center"/>
            <w:tcMar>
              <w:top w:w="100" w:type="dxa"/>
              <w:start w:w="110" w:type="dxa"/>
              <w:bottom w:w="100" w:type="dxa"/>
              <w:end w:w="110" w:type="dxa"/>
            </w:tcMar>
            <w:shd w:fill="F2F6FA"/>
          </w:tcPr>
          <w:p>
            <w:pPr>
              <w:spacing w:after="0" w:line="240" w:lineRule="auto"/>
            </w:pPr>
            <w:r>
              <w:rPr>
                <w:sz w:val="17"/>
              </w:rPr>
              <w:t>Add Spark only for multi-GB backfills, parcel spatial joins or SLA failure</w:t>
            </w:r>
          </w:p>
        </w:tc>
      </w:tr>
      <w:tr>
        <w:trPr>
          <w:cantSplit/>
        </w:trPr>
        <w:tc>
          <w:tcPr>
            <w:tcW w:type="dxa" w:w="1872"/>
            <w:vAlign w:val="center"/>
            <w:tcMar>
              <w:top w:w="100" w:type="dxa"/>
              <w:start w:w="110" w:type="dxa"/>
              <w:bottom w:w="100" w:type="dxa"/>
              <w:end w:w="110" w:type="dxa"/>
            </w:tcMar>
          </w:tcPr>
          <w:p>
            <w:pPr>
              <w:spacing w:after="0" w:line="240" w:lineRule="auto"/>
            </w:pPr>
            <w:r>
              <w:rPr>
                <w:sz w:val="17"/>
              </w:rPr>
              <w:t>BI mode</w:t>
            </w:r>
          </w:p>
        </w:tc>
        <w:tc>
          <w:tcPr>
            <w:tcW w:type="dxa" w:w="3384"/>
            <w:vAlign w:val="center"/>
            <w:tcMar>
              <w:top w:w="100" w:type="dxa"/>
              <w:start w:w="110" w:type="dxa"/>
              <w:bottom w:w="100" w:type="dxa"/>
              <w:end w:w="110" w:type="dxa"/>
            </w:tcMar>
          </w:tcPr>
          <w:p>
            <w:pPr>
              <w:spacing w:after="0" w:line="240" w:lineRule="auto"/>
            </w:pPr>
            <w:r>
              <w:rPr>
                <w:sz w:val="17"/>
              </w:rPr>
              <w:t>Power BI Import</w:t>
            </w:r>
          </w:p>
        </w:tc>
        <w:tc>
          <w:tcPr>
            <w:tcW w:type="dxa" w:w="4320"/>
            <w:vAlign w:val="center"/>
            <w:tcMar>
              <w:top w:w="100" w:type="dxa"/>
              <w:start w:w="110" w:type="dxa"/>
              <w:bottom w:w="100" w:type="dxa"/>
              <w:end w:w="110" w:type="dxa"/>
            </w:tcMar>
          </w:tcPr>
          <w:p>
            <w:pPr>
              <w:spacing w:after="0" w:line="240" w:lineRule="auto"/>
            </w:pPr>
            <w:r>
              <w:rPr>
                <w:sz w:val="17"/>
              </w:rPr>
              <w:t>Consider DirectQuery only for operational freshness with measured cost/latency</w:t>
            </w:r>
          </w:p>
        </w:tc>
      </w:tr>
    </w:tbl>
    <w:p>
      <w:pPr>
        <w:spacing w:after="40"/>
      </w:pPr>
    </w:p>
    <w:p>
      <w:r>
        <w:t>Serverless SQL auto-scales and can auto-pause in General Purpose. It needs retry logic after resume. Frequent Power BI refresh may repeatedly wake it, so add Azure Budget alerts and inspect real consumption before increasing refresh frequency.</w:t>
      </w:r>
    </w:p>
    <w:p>
      <w:r>
        <w:t xml:space="preserve"> </w:t>
      </w:r>
    </w:p>
    <w:p>
      <w:pPr>
        <w:pStyle w:val="Heading1"/>
      </w:pPr>
      <w:r>
        <w:t>Database design</w:t>
      </w:r>
    </w:p>
    <w:p>
      <w:r>
        <w:t>Use schemas meta, core, mart, audit and security. Keep source payloads in ADLS. Curated SQL follows a star schema with effective-dated geography and classification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2376"/>
            <w:shd w:fill="17365D"/>
            <w:vAlign w:val="center"/>
            <w:tcMar>
              <w:top w:w="100" w:type="dxa"/>
              <w:start w:w="110" w:type="dxa"/>
              <w:bottom w:w="100" w:type="dxa"/>
              <w:end w:w="110" w:type="dxa"/>
            </w:tcMar>
          </w:tcPr>
          <w:p>
            <w:r>
              <w:rPr>
                <w:b/>
                <w:color w:val="FFFFFF"/>
                <w:sz w:val="18"/>
              </w:rPr>
              <w:t>Object family</w:t>
            </w:r>
          </w:p>
        </w:tc>
        <w:tc>
          <w:tcPr>
            <w:tcW w:type="dxa" w:w="7200"/>
            <w:shd w:fill="17365D"/>
            <w:vAlign w:val="center"/>
            <w:tcMar>
              <w:top w:w="100" w:type="dxa"/>
              <w:start w:w="110" w:type="dxa"/>
              <w:bottom w:w="100" w:type="dxa"/>
              <w:end w:w="110" w:type="dxa"/>
            </w:tcMar>
          </w:tcPr>
          <w:p>
            <w:r>
              <w:rPr>
                <w:b/>
                <w:color w:val="FFFFFF"/>
                <w:sz w:val="18"/>
              </w:rPr>
              <w:t>Examples and declared grain</w:t>
            </w:r>
          </w:p>
        </w:tc>
      </w:tr>
      <w:tr>
        <w:trPr>
          <w:cantSplit/>
        </w:trPr>
        <w:tc>
          <w:tcPr>
            <w:tcW w:type="dxa" w:w="2376"/>
            <w:vAlign w:val="center"/>
            <w:tcMar>
              <w:top w:w="100" w:type="dxa"/>
              <w:start w:w="110" w:type="dxa"/>
              <w:bottom w:w="100" w:type="dxa"/>
              <w:end w:w="110" w:type="dxa"/>
            </w:tcMar>
          </w:tcPr>
          <w:p>
            <w:pPr>
              <w:spacing w:after="0" w:line="240" w:lineRule="auto"/>
            </w:pPr>
            <w:r>
              <w:rPr>
                <w:sz w:val="17"/>
              </w:rPr>
              <w:t>Dimensions</w:t>
            </w:r>
          </w:p>
        </w:tc>
        <w:tc>
          <w:tcPr>
            <w:tcW w:type="dxa" w:w="7200"/>
            <w:vAlign w:val="center"/>
            <w:tcMar>
              <w:top w:w="100" w:type="dxa"/>
              <w:start w:w="110" w:type="dxa"/>
              <w:bottom w:w="100" w:type="dxa"/>
              <w:end w:w="110" w:type="dxa"/>
            </w:tcMar>
          </w:tcPr>
          <w:p>
            <w:pPr>
              <w:spacing w:after="0" w:line="240" w:lineRule="auto"/>
            </w:pPr>
            <w:r>
              <w:rPr>
                <w:sz w:val="17"/>
              </w:rPr>
              <w:t>date; geography; property type; source; stop; project; risk type</w:t>
            </w:r>
          </w:p>
        </w:tc>
      </w:tr>
      <w:tr>
        <w:trPr>
          <w:cantSplit/>
        </w:trPr>
        <w:tc>
          <w:tcPr>
            <w:tcW w:type="dxa" w:w="2376"/>
            <w:vAlign w:val="center"/>
            <w:tcMar>
              <w:top w:w="100" w:type="dxa"/>
              <w:start w:w="110" w:type="dxa"/>
              <w:bottom w:w="100" w:type="dxa"/>
              <w:end w:w="110" w:type="dxa"/>
            </w:tcMar>
            <w:shd w:fill="F2F6FA"/>
          </w:tcPr>
          <w:p>
            <w:pPr>
              <w:spacing w:after="0" w:line="240" w:lineRule="auto"/>
            </w:pPr>
            <w:r>
              <w:rPr>
                <w:sz w:val="17"/>
              </w:rPr>
              <w:t>Market facts</w:t>
            </w:r>
          </w:p>
        </w:tc>
        <w:tc>
          <w:tcPr>
            <w:tcW w:type="dxa" w:w="7200"/>
            <w:vAlign w:val="center"/>
            <w:tcMar>
              <w:top w:w="100" w:type="dxa"/>
              <w:start w:w="110" w:type="dxa"/>
              <w:bottom w:w="100" w:type="dxa"/>
              <w:end w:w="110" w:type="dxa"/>
            </w:tcMar>
            <w:shd w:fill="F2F6FA"/>
          </w:tcPr>
          <w:p>
            <w:pPr>
              <w:spacing w:after="0" w:line="240" w:lineRule="auto"/>
            </w:pPr>
            <w:r>
              <w:rPr>
                <w:sz w:val="17"/>
              </w:rPr>
              <w:t>suburb x property type x period; geography x property type x rent period</w:t>
            </w:r>
          </w:p>
        </w:tc>
      </w:tr>
      <w:tr>
        <w:trPr>
          <w:cantSplit/>
        </w:trPr>
        <w:tc>
          <w:tcPr>
            <w:tcW w:type="dxa" w:w="2376"/>
            <w:vAlign w:val="center"/>
            <w:tcMar>
              <w:top w:w="100" w:type="dxa"/>
              <w:start w:w="110" w:type="dxa"/>
              <w:bottom w:w="100" w:type="dxa"/>
              <w:end w:w="110" w:type="dxa"/>
            </w:tcMar>
          </w:tcPr>
          <w:p>
            <w:pPr>
              <w:spacing w:after="0" w:line="240" w:lineRule="auto"/>
            </w:pPr>
            <w:r>
              <w:rPr>
                <w:sz w:val="17"/>
              </w:rPr>
              <w:t>Demand and supply facts</w:t>
            </w:r>
          </w:p>
        </w:tc>
        <w:tc>
          <w:tcPr>
            <w:tcW w:type="dxa" w:w="7200"/>
            <w:vAlign w:val="center"/>
            <w:tcMar>
              <w:top w:w="100" w:type="dxa"/>
              <w:start w:w="110" w:type="dxa"/>
              <w:bottom w:w="100" w:type="dxa"/>
              <w:end w:w="110" w:type="dxa"/>
            </w:tcMar>
          </w:tcPr>
          <w:p>
            <w:pPr>
              <w:spacing w:after="0" w:line="240" w:lineRule="auto"/>
            </w:pPr>
            <w:r>
              <w:rPr>
                <w:sz w:val="17"/>
              </w:rPr>
              <w:t>geography x year x scenario; LGA x month x approval type</w:t>
            </w:r>
          </w:p>
        </w:tc>
      </w:tr>
      <w:tr>
        <w:trPr>
          <w:cantSplit/>
        </w:trPr>
        <w:tc>
          <w:tcPr>
            <w:tcW w:type="dxa" w:w="2376"/>
            <w:vAlign w:val="center"/>
            <w:tcMar>
              <w:top w:w="100" w:type="dxa"/>
              <w:start w:w="110" w:type="dxa"/>
              <w:bottom w:w="100" w:type="dxa"/>
              <w:end w:w="110" w:type="dxa"/>
            </w:tcMar>
            <w:shd w:fill="F2F6FA"/>
          </w:tcPr>
          <w:p>
            <w:pPr>
              <w:spacing w:after="0" w:line="240" w:lineRule="auto"/>
            </w:pPr>
            <w:r>
              <w:rPr>
                <w:sz w:val="17"/>
              </w:rPr>
              <w:t>Context facts</w:t>
            </w:r>
          </w:p>
        </w:tc>
        <w:tc>
          <w:tcPr>
            <w:tcW w:type="dxa" w:w="7200"/>
            <w:vAlign w:val="center"/>
            <w:tcMar>
              <w:top w:w="100" w:type="dxa"/>
              <w:start w:w="110" w:type="dxa"/>
              <w:bottom w:w="100" w:type="dxa"/>
              <w:end w:w="110" w:type="dxa"/>
            </w:tcMar>
            <w:shd w:fill="F2F6FA"/>
          </w:tcPr>
          <w:p>
            <w:pPr>
              <w:spacing w:after="0" w:line="240" w:lineRule="auto"/>
            </w:pPr>
            <w:r>
              <w:rPr>
                <w:sz w:val="17"/>
              </w:rPr>
              <w:t>geography x offence x period; stop x route x day; geography x risk x version</w:t>
            </w:r>
          </w:p>
        </w:tc>
      </w:tr>
      <w:tr>
        <w:trPr>
          <w:cantSplit/>
        </w:trPr>
        <w:tc>
          <w:tcPr>
            <w:tcW w:type="dxa" w:w="2376"/>
            <w:vAlign w:val="center"/>
            <w:tcMar>
              <w:top w:w="100" w:type="dxa"/>
              <w:start w:w="110" w:type="dxa"/>
              <w:bottom w:w="100" w:type="dxa"/>
              <w:end w:w="110" w:type="dxa"/>
            </w:tcMar>
          </w:tcPr>
          <w:p>
            <w:pPr>
              <w:spacing w:after="0" w:line="240" w:lineRule="auto"/>
            </w:pPr>
            <w:r>
              <w:rPr>
                <w:sz w:val="17"/>
              </w:rPr>
              <w:t>Marts</w:t>
            </w:r>
          </w:p>
        </w:tc>
        <w:tc>
          <w:tcPr>
            <w:tcW w:type="dxa" w:w="7200"/>
            <w:vAlign w:val="center"/>
            <w:tcMar>
              <w:top w:w="100" w:type="dxa"/>
              <w:start w:w="110" w:type="dxa"/>
              <w:bottom w:w="100" w:type="dxa"/>
              <w:end w:w="110" w:type="dxa"/>
            </w:tcMar>
          </w:tcPr>
          <w:p>
            <w:pPr>
              <w:spacing w:after="0" w:line="240" w:lineRule="auto"/>
            </w:pPr>
            <w:r>
              <w:rPr>
                <w:sz w:val="17"/>
              </w:rPr>
              <w:t>suburb_feature_snapshot; suburb_score_snapshot; alert_event</w:t>
            </w:r>
          </w:p>
        </w:tc>
      </w:tr>
    </w:tbl>
    <w:p>
      <w:pPr>
        <w:spacing w:after="40"/>
      </w:pPr>
    </w:p>
    <w:p>
      <w:r>
        <w:t>Use surrogate keys and retain publisher identifiers. Enforce unique constraints at each grain, foreign keys, DECIMAL currency/rates and UTC datetimeoffset ingestion timestamps. Use SCD Type 2 for boundary, name, planning and classification changes. Crosswalks need match_method and confidence because locality, postcode, LGA and ABS areas do not nest cleanly.</w:t>
      </w:r>
    </w:p>
    <w:p>
      <w:pPr>
        <w:pStyle w:val="Heading1"/>
      </w:pPr>
      <w:r>
        <w:t>ETL and data quality contract</w:t>
      </w:r>
    </w:p>
    <w:p>
      <w:r>
        <w:t>Write the payload before parsing. The manifest stores URL, ETag, Last-Modified, SHA-256, retrieved_at, publisher period, licence, HTTP status, bytes and row count. A checksum makes reruns idempotent and identifies publisher revisions.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2088"/>
            <w:shd w:fill="17365D"/>
            <w:vAlign w:val="center"/>
            <w:tcMar>
              <w:top w:w="100" w:type="dxa"/>
              <w:start w:w="110" w:type="dxa"/>
              <w:bottom w:w="100" w:type="dxa"/>
              <w:end w:w="110" w:type="dxa"/>
            </w:tcMar>
          </w:tcPr>
          <w:p>
            <w:r>
              <w:rPr>
                <w:b/>
                <w:color w:val="FFFFFF"/>
                <w:sz w:val="18"/>
              </w:rPr>
              <w:t>Gate</w:t>
            </w:r>
          </w:p>
        </w:tc>
        <w:tc>
          <w:tcPr>
            <w:tcW w:type="dxa" w:w="7488"/>
            <w:shd w:fill="17365D"/>
            <w:vAlign w:val="center"/>
            <w:tcMar>
              <w:top w:w="100" w:type="dxa"/>
              <w:start w:w="110" w:type="dxa"/>
              <w:bottom w:w="100" w:type="dxa"/>
              <w:end w:w="110" w:type="dxa"/>
            </w:tcMar>
          </w:tcPr>
          <w:p>
            <w:r>
              <w:rPr>
                <w:b/>
                <w:color w:val="FFFFFF"/>
                <w:sz w:val="18"/>
              </w:rPr>
              <w:t>Examples</w:t>
            </w:r>
          </w:p>
        </w:tc>
      </w:tr>
      <w:tr>
        <w:trPr>
          <w:cantSplit/>
        </w:trPr>
        <w:tc>
          <w:tcPr>
            <w:tcW w:type="dxa" w:w="2088"/>
            <w:vAlign w:val="center"/>
            <w:tcMar>
              <w:top w:w="100" w:type="dxa"/>
              <w:start w:w="110" w:type="dxa"/>
              <w:bottom w:w="100" w:type="dxa"/>
              <w:end w:w="110" w:type="dxa"/>
            </w:tcMar>
          </w:tcPr>
          <w:p>
            <w:pPr>
              <w:spacing w:after="0" w:line="240" w:lineRule="auto"/>
            </w:pPr>
            <w:r>
              <w:rPr>
                <w:sz w:val="17"/>
              </w:rPr>
              <w:t>Transport and file</w:t>
            </w:r>
          </w:p>
        </w:tc>
        <w:tc>
          <w:tcPr>
            <w:tcW w:type="dxa" w:w="7488"/>
            <w:vAlign w:val="center"/>
            <w:tcMar>
              <w:top w:w="100" w:type="dxa"/>
              <w:start w:w="110" w:type="dxa"/>
              <w:bottom w:w="100" w:type="dxa"/>
              <w:end w:w="110" w:type="dxa"/>
            </w:tcMar>
          </w:tcPr>
          <w:p>
            <w:pPr>
              <w:spacing w:after="0" w:line="240" w:lineRule="auto"/>
            </w:pPr>
            <w:r>
              <w:rPr>
                <w:sz w:val="17"/>
              </w:rPr>
              <w:t>HTTP success, expected MIME, plausible bytes, checksum and retry policy</w:t>
            </w:r>
          </w:p>
        </w:tc>
      </w:tr>
      <w:tr>
        <w:trPr>
          <w:cantSplit/>
        </w:trPr>
        <w:tc>
          <w:tcPr>
            <w:tcW w:type="dxa" w:w="2088"/>
            <w:vAlign w:val="center"/>
            <w:tcMar>
              <w:top w:w="100" w:type="dxa"/>
              <w:start w:w="110" w:type="dxa"/>
              <w:bottom w:w="100" w:type="dxa"/>
              <w:end w:w="110" w:type="dxa"/>
            </w:tcMar>
            <w:shd w:fill="F2F6FA"/>
          </w:tcPr>
          <w:p>
            <w:pPr>
              <w:spacing w:after="0" w:line="240" w:lineRule="auto"/>
            </w:pPr>
            <w:r>
              <w:rPr>
                <w:sz w:val="17"/>
              </w:rPr>
              <w:t>Schema</w:t>
            </w:r>
          </w:p>
        </w:tc>
        <w:tc>
          <w:tcPr>
            <w:tcW w:type="dxa" w:w="7488"/>
            <w:vAlign w:val="center"/>
            <w:tcMar>
              <w:top w:w="100" w:type="dxa"/>
              <w:start w:w="110" w:type="dxa"/>
              <w:bottom w:w="100" w:type="dxa"/>
              <w:end w:w="110" w:type="dxa"/>
            </w:tcMar>
            <w:shd w:fill="F2F6FA"/>
          </w:tcPr>
          <w:p>
            <w:pPr>
              <w:spacing w:after="0" w:line="240" w:lineRule="auto"/>
            </w:pPr>
            <w:r>
              <w:rPr>
                <w:sz w:val="17"/>
              </w:rPr>
              <w:t>Sheet/header signatures, required columns, types and controlled classification values</w:t>
            </w:r>
          </w:p>
        </w:tc>
      </w:tr>
      <w:tr>
        <w:trPr>
          <w:cantSplit/>
        </w:trPr>
        <w:tc>
          <w:tcPr>
            <w:tcW w:type="dxa" w:w="2088"/>
            <w:vAlign w:val="center"/>
            <w:tcMar>
              <w:top w:w="100" w:type="dxa"/>
              <w:start w:w="110" w:type="dxa"/>
              <w:bottom w:w="100" w:type="dxa"/>
              <w:end w:w="110" w:type="dxa"/>
            </w:tcMar>
          </w:tcPr>
          <w:p>
            <w:pPr>
              <w:spacing w:after="0" w:line="240" w:lineRule="auto"/>
            </w:pPr>
            <w:r>
              <w:rPr>
                <w:sz w:val="17"/>
              </w:rPr>
              <w:t>Record</w:t>
            </w:r>
          </w:p>
        </w:tc>
        <w:tc>
          <w:tcPr>
            <w:tcW w:type="dxa" w:w="7488"/>
            <w:vAlign w:val="center"/>
            <w:tcMar>
              <w:top w:w="100" w:type="dxa"/>
              <w:start w:w="110" w:type="dxa"/>
              <w:bottom w:w="100" w:type="dxa"/>
              <w:end w:w="110" w:type="dxa"/>
            </w:tcMar>
          </w:tcPr>
          <w:p>
            <w:pPr>
              <w:spacing w:after="0" w:line="240" w:lineRule="auto"/>
            </w:pPr>
            <w:r>
              <w:rPr>
                <w:sz w:val="17"/>
              </w:rPr>
              <w:t>Unique grain, non-negative measures, valid dates/geographies and sensible bounds</w:t>
            </w:r>
          </w:p>
        </w:tc>
      </w:tr>
      <w:tr>
        <w:trPr>
          <w:cantSplit/>
        </w:trPr>
        <w:tc>
          <w:tcPr>
            <w:tcW w:type="dxa" w:w="2088"/>
            <w:vAlign w:val="center"/>
            <w:tcMar>
              <w:top w:w="100" w:type="dxa"/>
              <w:start w:w="110" w:type="dxa"/>
              <w:bottom w:w="100" w:type="dxa"/>
              <w:end w:w="110" w:type="dxa"/>
            </w:tcMar>
            <w:shd w:fill="F2F6FA"/>
          </w:tcPr>
          <w:p>
            <w:pPr>
              <w:spacing w:after="0" w:line="240" w:lineRule="auto"/>
            </w:pPr>
            <w:r>
              <w:rPr>
                <w:sz w:val="17"/>
              </w:rPr>
              <w:t>Relational</w:t>
            </w:r>
          </w:p>
        </w:tc>
        <w:tc>
          <w:tcPr>
            <w:tcW w:type="dxa" w:w="7488"/>
            <w:vAlign w:val="center"/>
            <w:tcMar>
              <w:top w:w="100" w:type="dxa"/>
              <w:start w:w="110" w:type="dxa"/>
              <w:bottom w:w="100" w:type="dxa"/>
              <w:end w:w="110" w:type="dxa"/>
            </w:tcMar>
            <w:shd w:fill="F2F6FA"/>
          </w:tcPr>
          <w:p>
            <w:pPr>
              <w:spacing w:after="0" w:line="240" w:lineRule="auto"/>
            </w:pPr>
            <w:r>
              <w:rPr>
                <w:sz w:val="17"/>
              </w:rPr>
              <w:t>Foreign keys, crosswalk confidence, no orphan facts</w:t>
            </w:r>
          </w:p>
        </w:tc>
      </w:tr>
      <w:tr>
        <w:trPr>
          <w:cantSplit/>
        </w:trPr>
        <w:tc>
          <w:tcPr>
            <w:tcW w:type="dxa" w:w="2088"/>
            <w:vAlign w:val="center"/>
            <w:tcMar>
              <w:top w:w="100" w:type="dxa"/>
              <w:start w:w="110" w:type="dxa"/>
              <w:bottom w:w="100" w:type="dxa"/>
              <w:end w:w="110" w:type="dxa"/>
            </w:tcMar>
          </w:tcPr>
          <w:p>
            <w:pPr>
              <w:spacing w:after="0" w:line="240" w:lineRule="auto"/>
            </w:pPr>
            <w:r>
              <w:rPr>
                <w:sz w:val="17"/>
              </w:rPr>
              <w:t>Reconciliation</w:t>
            </w:r>
          </w:p>
        </w:tc>
        <w:tc>
          <w:tcPr>
            <w:tcW w:type="dxa" w:w="7488"/>
            <w:vAlign w:val="center"/>
            <w:tcMar>
              <w:top w:w="100" w:type="dxa"/>
              <w:start w:w="110" w:type="dxa"/>
              <w:bottom w:w="100" w:type="dxa"/>
              <w:end w:w="110" w:type="dxa"/>
            </w:tcMar>
          </w:tcPr>
          <w:p>
            <w:pPr>
              <w:spacing w:after="0" w:line="240" w:lineRule="auto"/>
            </w:pPr>
            <w:r>
              <w:rPr>
                <w:sz w:val="17"/>
              </w:rPr>
              <w:t>Published totals, row-count drift and revision deltas</w:t>
            </w:r>
          </w:p>
        </w:tc>
      </w:tr>
      <w:tr>
        <w:trPr>
          <w:cantSplit/>
        </w:trPr>
        <w:tc>
          <w:tcPr>
            <w:tcW w:type="dxa" w:w="2088"/>
            <w:vAlign w:val="center"/>
            <w:tcMar>
              <w:top w:w="100" w:type="dxa"/>
              <w:start w:w="110" w:type="dxa"/>
              <w:bottom w:w="100" w:type="dxa"/>
              <w:end w:w="110" w:type="dxa"/>
            </w:tcMar>
            <w:shd w:fill="F2F6FA"/>
          </w:tcPr>
          <w:p>
            <w:pPr>
              <w:spacing w:after="0" w:line="240" w:lineRule="auto"/>
            </w:pPr>
            <w:r>
              <w:rPr>
                <w:sz w:val="17"/>
              </w:rPr>
              <w:t>Freshness</w:t>
            </w:r>
          </w:p>
        </w:tc>
        <w:tc>
          <w:tcPr>
            <w:tcW w:type="dxa" w:w="7488"/>
            <w:vAlign w:val="center"/>
            <w:tcMar>
              <w:top w:w="100" w:type="dxa"/>
              <w:start w:w="110" w:type="dxa"/>
              <w:bottom w:w="100" w:type="dxa"/>
              <w:end w:w="110" w:type="dxa"/>
            </w:tcMar>
            <w:shd w:fill="F2F6FA"/>
          </w:tcPr>
          <w:p>
            <w:pPr>
              <w:spacing w:after="0" w:line="240" w:lineRule="auto"/>
            </w:pPr>
            <w:r>
              <w:rPr>
                <w:sz w:val="17"/>
              </w:rPr>
              <w:t>Expected cadence, source publication lag and pipeline completion SLO</w:t>
            </w:r>
          </w:p>
        </w:tc>
      </w:tr>
    </w:tbl>
    <w:p>
      <w:pPr>
        <w:spacing w:after="40"/>
      </w:pPr>
    </w:p>
    <w:p>
      <w:r>
        <w:t>Quarantine invalid rows and block Gold on critical failures. Store each test, threshold, result and sample failure in audit.data_quality_result. Use pytest plus Pandera or Great Expectations and keep representative historical fixtures so publisher format changes are caught before production.</w:t>
      </w:r>
    </w:p>
    <w:p>
      <w:pPr>
        <w:pStyle w:val="Heading1"/>
      </w:pPr>
      <w:r>
        <w:t>Investment analytics and score contract</w:t>
      </w:r>
    </w:p>
    <w:p>
      <w:r>
        <w:t>First publish transparent features: 1/3/5/10-year nominal CAGR, sales liquidity, median stability, aligned rent and price, gross yield, population/household/dwelling growth, approvals per 1,000 dwellings, redevelopment supply, transport access/reliability, distance-weighted committed infrastructure, offence rates per 1,000 residents, affordability, and planning/environmental exposure.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3096"/>
            <w:shd w:fill="17365D"/>
            <w:vAlign w:val="center"/>
            <w:tcMar>
              <w:top w:w="100" w:type="dxa"/>
              <w:start w:w="110" w:type="dxa"/>
              <w:bottom w:w="100" w:type="dxa"/>
              <w:end w:w="110" w:type="dxa"/>
            </w:tcMar>
          </w:tcPr>
          <w:p>
            <w:r>
              <w:rPr>
                <w:b/>
                <w:color w:val="FFFFFF"/>
                <w:sz w:val="18"/>
              </w:rPr>
              <w:t>Component</w:t>
            </w:r>
          </w:p>
        </w:tc>
        <w:tc>
          <w:tcPr>
            <w:tcW w:type="dxa" w:w="1440"/>
            <w:shd w:fill="17365D"/>
            <w:vAlign w:val="center"/>
            <w:tcMar>
              <w:top w:w="100" w:type="dxa"/>
              <w:start w:w="110" w:type="dxa"/>
              <w:bottom w:w="100" w:type="dxa"/>
              <w:end w:w="110" w:type="dxa"/>
            </w:tcMar>
          </w:tcPr>
          <w:p>
            <w:r>
              <w:rPr>
                <w:b/>
                <w:color w:val="FFFFFF"/>
                <w:sz w:val="18"/>
              </w:rPr>
              <w:t>Initial weight</w:t>
            </w:r>
          </w:p>
        </w:tc>
        <w:tc>
          <w:tcPr>
            <w:tcW w:type="dxa" w:w="5040"/>
            <w:shd w:fill="17365D"/>
            <w:vAlign w:val="center"/>
            <w:tcMar>
              <w:top w:w="100" w:type="dxa"/>
              <w:start w:w="110" w:type="dxa"/>
              <w:bottom w:w="100" w:type="dxa"/>
              <w:end w:w="110" w:type="dxa"/>
            </w:tcMar>
          </w:tcPr>
          <w:p>
            <w:r>
              <w:rPr>
                <w:b/>
                <w:color w:val="FFFFFF"/>
                <w:sz w:val="18"/>
              </w:rPr>
              <w:t>Interpretation</w:t>
            </w:r>
          </w:p>
        </w:tc>
      </w:tr>
      <w:tr>
        <w:trPr>
          <w:cantSplit/>
        </w:trPr>
        <w:tc>
          <w:tcPr>
            <w:tcW w:type="dxa" w:w="3096"/>
            <w:vAlign w:val="center"/>
            <w:tcMar>
              <w:top w:w="100" w:type="dxa"/>
              <w:start w:w="110" w:type="dxa"/>
              <w:bottom w:w="100" w:type="dxa"/>
              <w:end w:w="110" w:type="dxa"/>
            </w:tcMar>
          </w:tcPr>
          <w:p>
            <w:pPr>
              <w:spacing w:after="0" w:line="240" w:lineRule="auto"/>
            </w:pPr>
            <w:r>
              <w:rPr>
                <w:sz w:val="17"/>
              </w:rPr>
              <w:t>Demand and historical growth</w:t>
            </w:r>
          </w:p>
        </w:tc>
        <w:tc>
          <w:tcPr>
            <w:tcW w:type="dxa" w:w="1440"/>
            <w:vAlign w:val="center"/>
            <w:tcMar>
              <w:top w:w="100" w:type="dxa"/>
              <w:start w:w="110" w:type="dxa"/>
              <w:bottom w:w="100" w:type="dxa"/>
              <w:end w:w="110" w:type="dxa"/>
            </w:tcMar>
          </w:tcPr>
          <w:p>
            <w:pPr>
              <w:spacing w:after="0" w:line="240" w:lineRule="auto"/>
            </w:pPr>
            <w:r>
              <w:rPr>
                <w:sz w:val="17"/>
              </w:rPr>
              <w:t>25%</w:t>
            </w:r>
          </w:p>
        </w:tc>
        <w:tc>
          <w:tcPr>
            <w:tcW w:type="dxa" w:w="5040"/>
            <w:vAlign w:val="center"/>
            <w:tcMar>
              <w:top w:w="100" w:type="dxa"/>
              <w:start w:w="110" w:type="dxa"/>
              <w:bottom w:w="100" w:type="dxa"/>
              <w:end w:w="110" w:type="dxa"/>
            </w:tcMar>
          </w:tcPr>
          <w:p>
            <w:pPr>
              <w:spacing w:after="0" w:line="240" w:lineRule="auto"/>
            </w:pPr>
            <w:r>
              <w:rPr>
                <w:sz w:val="17"/>
              </w:rPr>
              <w:t>Growth with liquidity and low-volume safeguards</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Rental fundamentals</w:t>
            </w:r>
          </w:p>
        </w:tc>
        <w:tc>
          <w:tcPr>
            <w:tcW w:type="dxa" w:w="1440"/>
            <w:vAlign w:val="center"/>
            <w:tcMar>
              <w:top w:w="100" w:type="dxa"/>
              <w:start w:w="110" w:type="dxa"/>
              <w:bottom w:w="100" w:type="dxa"/>
              <w:end w:w="110" w:type="dxa"/>
            </w:tcMar>
            <w:shd w:fill="F2F6FA"/>
          </w:tcPr>
          <w:p>
            <w:pPr>
              <w:spacing w:after="0" w:line="240" w:lineRule="auto"/>
            </w:pPr>
            <w:r>
              <w:rPr>
                <w:sz w:val="17"/>
              </w:rPr>
              <w:t>20%</w:t>
            </w:r>
          </w:p>
        </w:tc>
        <w:tc>
          <w:tcPr>
            <w:tcW w:type="dxa" w:w="5040"/>
            <w:vAlign w:val="center"/>
            <w:tcMar>
              <w:top w:w="100" w:type="dxa"/>
              <w:start w:w="110" w:type="dxa"/>
              <w:bottom w:w="100" w:type="dxa"/>
              <w:end w:w="110" w:type="dxa"/>
            </w:tcMar>
            <w:shd w:fill="F2F6FA"/>
          </w:tcPr>
          <w:p>
            <w:pPr>
              <w:spacing w:after="0" w:line="240" w:lineRule="auto"/>
            </w:pPr>
            <w:r>
              <w:rPr>
                <w:sz w:val="17"/>
              </w:rPr>
              <w:t>Aligned gross yield, rent trend and vacancy proxy where defensible</w:t>
            </w:r>
          </w:p>
        </w:tc>
      </w:tr>
      <w:tr>
        <w:trPr>
          <w:cantSplit/>
        </w:trPr>
        <w:tc>
          <w:tcPr>
            <w:tcW w:type="dxa" w:w="3096"/>
            <w:vAlign w:val="center"/>
            <w:tcMar>
              <w:top w:w="100" w:type="dxa"/>
              <w:start w:w="110" w:type="dxa"/>
              <w:bottom w:w="100" w:type="dxa"/>
              <w:end w:w="110" w:type="dxa"/>
            </w:tcMar>
          </w:tcPr>
          <w:p>
            <w:pPr>
              <w:spacing w:after="0" w:line="240" w:lineRule="auto"/>
            </w:pPr>
            <w:r>
              <w:rPr>
                <w:sz w:val="17"/>
              </w:rPr>
              <w:t>Supply balance</w:t>
            </w:r>
          </w:p>
        </w:tc>
        <w:tc>
          <w:tcPr>
            <w:tcW w:type="dxa" w:w="1440"/>
            <w:vAlign w:val="center"/>
            <w:tcMar>
              <w:top w:w="100" w:type="dxa"/>
              <w:start w:w="110" w:type="dxa"/>
              <w:bottom w:w="100" w:type="dxa"/>
              <w:end w:w="110" w:type="dxa"/>
            </w:tcMar>
          </w:tcPr>
          <w:p>
            <w:pPr>
              <w:spacing w:after="0" w:line="240" w:lineRule="auto"/>
            </w:pPr>
            <w:r>
              <w:rPr>
                <w:sz w:val="17"/>
              </w:rPr>
              <w:t>15%</w:t>
            </w:r>
          </w:p>
        </w:tc>
        <w:tc>
          <w:tcPr>
            <w:tcW w:type="dxa" w:w="5040"/>
            <w:vAlign w:val="center"/>
            <w:tcMar>
              <w:top w:w="100" w:type="dxa"/>
              <w:start w:w="110" w:type="dxa"/>
              <w:bottom w:w="100" w:type="dxa"/>
              <w:end w:w="110" w:type="dxa"/>
            </w:tcMar>
          </w:tcPr>
          <w:p>
            <w:pPr>
              <w:spacing w:after="0" w:line="240" w:lineRule="auto"/>
            </w:pPr>
            <w:r>
              <w:rPr>
                <w:sz w:val="17"/>
              </w:rPr>
              <w:t>Approvals and development pipeline; excess supply lowers score</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Accessibility</w:t>
            </w:r>
          </w:p>
        </w:tc>
        <w:tc>
          <w:tcPr>
            <w:tcW w:type="dxa" w:w="1440"/>
            <w:vAlign w:val="center"/>
            <w:tcMar>
              <w:top w:w="100" w:type="dxa"/>
              <w:start w:w="110" w:type="dxa"/>
              <w:bottom w:w="100" w:type="dxa"/>
              <w:end w:w="110" w:type="dxa"/>
            </w:tcMar>
            <w:shd w:fill="F2F6FA"/>
          </w:tcPr>
          <w:p>
            <w:pPr>
              <w:spacing w:after="0" w:line="240" w:lineRule="auto"/>
            </w:pPr>
            <w:r>
              <w:rPr>
                <w:sz w:val="17"/>
              </w:rPr>
              <w:t>15%</w:t>
            </w:r>
          </w:p>
        </w:tc>
        <w:tc>
          <w:tcPr>
            <w:tcW w:type="dxa" w:w="5040"/>
            <w:vAlign w:val="center"/>
            <w:tcMar>
              <w:top w:w="100" w:type="dxa"/>
              <w:start w:w="110" w:type="dxa"/>
              <w:bottom w:w="100" w:type="dxa"/>
              <w:end w:w="110" w:type="dxa"/>
            </w:tcMar>
            <w:shd w:fill="F2F6FA"/>
          </w:tcPr>
          <w:p>
            <w:pPr>
              <w:spacing w:after="0" w:line="240" w:lineRule="auto"/>
            </w:pPr>
            <w:r>
              <w:rPr>
                <w:sz w:val="17"/>
              </w:rPr>
              <w:t>Service access and aggregated reliability, not raw vehicle volume</w:t>
            </w:r>
          </w:p>
        </w:tc>
      </w:tr>
      <w:tr>
        <w:trPr>
          <w:cantSplit/>
        </w:trPr>
        <w:tc>
          <w:tcPr>
            <w:tcW w:type="dxa" w:w="3096"/>
            <w:vAlign w:val="center"/>
            <w:tcMar>
              <w:top w:w="100" w:type="dxa"/>
              <w:start w:w="110" w:type="dxa"/>
              <w:bottom w:w="100" w:type="dxa"/>
              <w:end w:w="110" w:type="dxa"/>
            </w:tcMar>
          </w:tcPr>
          <w:p>
            <w:pPr>
              <w:spacing w:after="0" w:line="240" w:lineRule="auto"/>
            </w:pPr>
            <w:r>
              <w:rPr>
                <w:sz w:val="17"/>
              </w:rPr>
              <w:t>Infrastructure</w:t>
            </w:r>
          </w:p>
        </w:tc>
        <w:tc>
          <w:tcPr>
            <w:tcW w:type="dxa" w:w="1440"/>
            <w:vAlign w:val="center"/>
            <w:tcMar>
              <w:top w:w="100" w:type="dxa"/>
              <w:start w:w="110" w:type="dxa"/>
              <w:bottom w:w="100" w:type="dxa"/>
              <w:end w:w="110" w:type="dxa"/>
            </w:tcMar>
          </w:tcPr>
          <w:p>
            <w:pPr>
              <w:spacing w:after="0" w:line="240" w:lineRule="auto"/>
            </w:pPr>
            <w:r>
              <w:rPr>
                <w:sz w:val="17"/>
              </w:rPr>
              <w:t>10%</w:t>
            </w:r>
          </w:p>
        </w:tc>
        <w:tc>
          <w:tcPr>
            <w:tcW w:type="dxa" w:w="5040"/>
            <w:vAlign w:val="center"/>
            <w:tcMar>
              <w:top w:w="100" w:type="dxa"/>
              <w:start w:w="110" w:type="dxa"/>
              <w:bottom w:w="100" w:type="dxa"/>
              <w:end w:w="110" w:type="dxa"/>
            </w:tcMar>
          </w:tcPr>
          <w:p>
            <w:pPr>
              <w:spacing w:after="0" w:line="240" w:lineRule="auto"/>
            </w:pPr>
            <w:r>
              <w:rPr>
                <w:sz w:val="17"/>
              </w:rPr>
              <w:t>Distance and delivery-stage discounted exposure</w:t>
            </w:r>
          </w:p>
        </w:tc>
      </w:tr>
      <w:tr>
        <w:trPr>
          <w:cantSplit/>
        </w:trPr>
        <w:tc>
          <w:tcPr>
            <w:tcW w:type="dxa" w:w="3096"/>
            <w:vAlign w:val="center"/>
            <w:tcMar>
              <w:top w:w="100" w:type="dxa"/>
              <w:start w:w="110" w:type="dxa"/>
              <w:bottom w:w="100" w:type="dxa"/>
              <w:end w:w="110" w:type="dxa"/>
            </w:tcMar>
            <w:shd w:fill="F2F6FA"/>
          </w:tcPr>
          <w:p>
            <w:pPr>
              <w:spacing w:after="0" w:line="240" w:lineRule="auto"/>
            </w:pPr>
            <w:r>
              <w:rPr>
                <w:sz w:val="17"/>
              </w:rPr>
              <w:t>Liquidity</w:t>
            </w:r>
          </w:p>
        </w:tc>
        <w:tc>
          <w:tcPr>
            <w:tcW w:type="dxa" w:w="1440"/>
            <w:vAlign w:val="center"/>
            <w:tcMar>
              <w:top w:w="100" w:type="dxa"/>
              <w:start w:w="110" w:type="dxa"/>
              <w:bottom w:w="100" w:type="dxa"/>
              <w:end w:w="110" w:type="dxa"/>
            </w:tcMar>
            <w:shd w:fill="F2F6FA"/>
          </w:tcPr>
          <w:p>
            <w:pPr>
              <w:spacing w:after="0" w:line="240" w:lineRule="auto"/>
            </w:pPr>
            <w:r>
              <w:rPr>
                <w:sz w:val="17"/>
              </w:rPr>
              <w:t>5%</w:t>
            </w:r>
          </w:p>
        </w:tc>
        <w:tc>
          <w:tcPr>
            <w:tcW w:type="dxa" w:w="5040"/>
            <w:vAlign w:val="center"/>
            <w:tcMar>
              <w:top w:w="100" w:type="dxa"/>
              <w:start w:w="110" w:type="dxa"/>
              <w:bottom w:w="100" w:type="dxa"/>
              <w:end w:w="110" w:type="dxa"/>
            </w:tcMar>
            <w:shd w:fill="F2F6FA"/>
          </w:tcPr>
          <w:p>
            <w:pPr>
              <w:spacing w:after="0" w:line="240" w:lineRule="auto"/>
            </w:pPr>
            <w:r>
              <w:rPr>
                <w:sz w:val="17"/>
              </w:rPr>
              <w:t>Transaction depth and stability</w:t>
            </w:r>
          </w:p>
        </w:tc>
      </w:tr>
      <w:tr>
        <w:trPr>
          <w:cantSplit/>
        </w:trPr>
        <w:tc>
          <w:tcPr>
            <w:tcW w:type="dxa" w:w="3096"/>
            <w:vAlign w:val="center"/>
            <w:tcMar>
              <w:top w:w="100" w:type="dxa"/>
              <w:start w:w="110" w:type="dxa"/>
              <w:bottom w:w="100" w:type="dxa"/>
              <w:end w:w="110" w:type="dxa"/>
            </w:tcMar>
          </w:tcPr>
          <w:p>
            <w:pPr>
              <w:spacing w:after="0" w:line="240" w:lineRule="auto"/>
            </w:pPr>
            <w:r>
              <w:rPr>
                <w:sz w:val="17"/>
              </w:rPr>
              <w:t>Risk and constraints</w:t>
            </w:r>
          </w:p>
        </w:tc>
        <w:tc>
          <w:tcPr>
            <w:tcW w:type="dxa" w:w="1440"/>
            <w:vAlign w:val="center"/>
            <w:tcMar>
              <w:top w:w="100" w:type="dxa"/>
              <w:start w:w="110" w:type="dxa"/>
              <w:bottom w:w="100" w:type="dxa"/>
              <w:end w:w="110" w:type="dxa"/>
            </w:tcMar>
          </w:tcPr>
          <w:p>
            <w:pPr>
              <w:spacing w:after="0" w:line="240" w:lineRule="auto"/>
            </w:pPr>
            <w:r>
              <w:rPr>
                <w:sz w:val="17"/>
              </w:rPr>
              <w:t>10%</w:t>
            </w:r>
          </w:p>
        </w:tc>
        <w:tc>
          <w:tcPr>
            <w:tcW w:type="dxa" w:w="5040"/>
            <w:vAlign w:val="center"/>
            <w:tcMar>
              <w:top w:w="100" w:type="dxa"/>
              <w:start w:w="110" w:type="dxa"/>
              <w:bottom w:w="100" w:type="dxa"/>
              <w:end w:w="110" w:type="dxa"/>
            </w:tcMar>
          </w:tcPr>
          <w:p>
            <w:pPr>
              <w:spacing w:after="0" w:line="240" w:lineRule="auto"/>
            </w:pPr>
            <w:r>
              <w:rPr>
                <w:sz w:val="17"/>
              </w:rPr>
              <w:t>Crime context, hazards and planning restrictions</w:t>
            </w:r>
          </w:p>
        </w:tc>
      </w:tr>
    </w:tbl>
    <w:p>
      <w:pPr>
        <w:spacing w:after="40"/>
      </w:pPr>
    </w:p>
    <w:p>
      <w:r>
        <w:t>Score separately for metropolitan houses, metropolitan units and regional houses. Winsorize extremes, robust-scale features, reverse risk measures, penalize inadequate sample size and store score_version and weight_version. Power BI should expose weight sliders and rank sensitivity. Weights are hypotheses, not facts.</w:t>
      </w:r>
    </w:p>
    <w:p>
      <w:r>
        <w:t>Do not train a forecast until you have point-in-time feature snapshots. Backtests must use only data that had actually been published before each simulated purchase date. Compare simple baselines, include transaction costs and report error and ranking stability, not only a high R-squared.</w:t>
      </w:r>
    </w:p>
    <w:p>
      <w:pPr>
        <w:pStyle w:val="Heading1"/>
      </w:pPr>
      <w:r>
        <w:t>Property ROI calculator</w:t>
      </w:r>
    </w:p>
    <w:p>
      <w:r>
        <w:t>Keep suburb screening separate from a property cash-flow model. Inputs: purchase price, stamp duty and acquisition costs, deposit, loan, interest, rent, vacancy, management, insurance, council/water/owners-corporation charges, maintenance, tax assumptions and sale costs. Outputs: gross yield, net yield, annual cash flow, cash-on-cash return, break-even appreciation and scenario IRR. Model base, downside and upside cases; have qualified advisers verify finance and tax settings.</w:t>
      </w:r>
    </w:p>
    <w:p>
      <w:pPr>
        <w:pStyle w:val="Heading1"/>
      </w:pPr>
      <w:r>
        <w:t>Alerts with Resend</w:t>
      </w:r>
    </w:p>
    <w:p>
      <w:r>
        <w:t>Alert only on material, actionable changes: a watched suburb crosses a score/yield threshold with adequate confidence; a new quarterly release moves rank materially; a planning or hazard exposure changes; a nearby committed project changes stage; a freshness SLO is breached; or a pipeline fails. Use event fingerprints, cooldowns and daily digests to prevent noise.</w:t>
      </w:r>
    </w:p>
    <w:p>
      <w:r>
        <w:t>Keep RESEND_API_KEY in Key Vault and grant only the alert Function managed identity permission to read it. Use an owned, verified sending domain, an API Idempotency-Key and redacted logs. The current free transactional allowance is 100 emails per day and 3,000 per month, with a default five requests per second per team.</w:t>
      </w:r>
    </w:p>
    <w:p>
      <w:pPr>
        <w:pStyle w:val="Heading1"/>
      </w:pPr>
      <w:r>
        <w:t>Identity and access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376"/>
            <w:shd w:fill="17365D"/>
            <w:vAlign w:val="center"/>
            <w:tcMar>
              <w:top w:w="100" w:type="dxa"/>
              <w:start w:w="110" w:type="dxa"/>
              <w:bottom w:w="100" w:type="dxa"/>
              <w:end w:w="110" w:type="dxa"/>
            </w:tcMar>
          </w:tcPr>
          <w:p>
            <w:r>
              <w:rPr>
                <w:b/>
                <w:color w:val="FFFFFF"/>
                <w:sz w:val="18"/>
              </w:rPr>
              <w:t>Principal</w:t>
            </w:r>
          </w:p>
        </w:tc>
        <w:tc>
          <w:tcPr>
            <w:tcW w:type="dxa" w:w="3600"/>
            <w:shd w:fill="17365D"/>
            <w:vAlign w:val="center"/>
            <w:tcMar>
              <w:top w:w="100" w:type="dxa"/>
              <w:start w:w="110" w:type="dxa"/>
              <w:bottom w:w="100" w:type="dxa"/>
              <w:end w:w="110" w:type="dxa"/>
            </w:tcMar>
          </w:tcPr>
          <w:p>
            <w:r>
              <w:rPr>
                <w:b/>
                <w:color w:val="FFFFFF"/>
                <w:sz w:val="18"/>
              </w:rPr>
              <w:t>Azure access</w:t>
            </w:r>
          </w:p>
        </w:tc>
        <w:tc>
          <w:tcPr>
            <w:tcW w:type="dxa" w:w="3600"/>
            <w:shd w:fill="17365D"/>
            <w:vAlign w:val="center"/>
            <w:tcMar>
              <w:top w:w="100" w:type="dxa"/>
              <w:start w:w="110" w:type="dxa"/>
              <w:bottom w:w="100" w:type="dxa"/>
              <w:end w:w="110" w:type="dxa"/>
            </w:tcMar>
          </w:tcPr>
          <w:p>
            <w:r>
              <w:rPr>
                <w:b/>
                <w:color w:val="FFFFFF"/>
                <w:sz w:val="18"/>
              </w:rPr>
              <w:t>SQL access</w:t>
            </w:r>
          </w:p>
        </w:tc>
      </w:tr>
      <w:tr>
        <w:trPr>
          <w:cantSplit/>
        </w:trPr>
        <w:tc>
          <w:tcPr>
            <w:tcW w:type="dxa" w:w="2376"/>
            <w:vAlign w:val="center"/>
            <w:tcMar>
              <w:top w:w="100" w:type="dxa"/>
              <w:start w:w="110" w:type="dxa"/>
              <w:bottom w:w="100" w:type="dxa"/>
              <w:end w:w="110" w:type="dxa"/>
            </w:tcMar>
          </w:tcPr>
          <w:p>
            <w:pPr>
              <w:spacing w:after="0" w:line="240" w:lineRule="auto"/>
            </w:pPr>
            <w:r>
              <w:rPr>
                <w:sz w:val="17"/>
              </w:rPr>
              <w:t>Platform administrators</w:t>
            </w:r>
          </w:p>
        </w:tc>
        <w:tc>
          <w:tcPr>
            <w:tcW w:type="dxa" w:w="3600"/>
            <w:vAlign w:val="center"/>
            <w:tcMar>
              <w:top w:w="100" w:type="dxa"/>
              <w:start w:w="110" w:type="dxa"/>
              <w:bottom w:w="100" w:type="dxa"/>
              <w:end w:w="110" w:type="dxa"/>
            </w:tcMar>
          </w:tcPr>
          <w:p>
            <w:pPr>
              <w:spacing w:after="0" w:line="240" w:lineRule="auto"/>
            </w:pPr>
            <w:r>
              <w:rPr>
                <w:sz w:val="17"/>
              </w:rPr>
              <w:t>Resource administration through Entra group</w:t>
            </w:r>
          </w:p>
        </w:tc>
        <w:tc>
          <w:tcPr>
            <w:tcW w:type="dxa" w:w="3600"/>
            <w:vAlign w:val="center"/>
            <w:tcMar>
              <w:top w:w="100" w:type="dxa"/>
              <w:start w:w="110" w:type="dxa"/>
              <w:bottom w:w="100" w:type="dxa"/>
              <w:end w:w="110" w:type="dxa"/>
            </w:tcMar>
          </w:tcPr>
          <w:p>
            <w:pPr>
              <w:spacing w:after="0" w:line="240" w:lineRule="auto"/>
            </w:pPr>
            <w:r>
              <w:rPr>
                <w:sz w:val="17"/>
              </w:rPr>
              <w:t>Controlled db_owner only when required</w:t>
            </w:r>
          </w:p>
        </w:tc>
      </w:tr>
      <w:tr>
        <w:trPr>
          <w:cantSplit/>
        </w:trPr>
        <w:tc>
          <w:tcPr>
            <w:tcW w:type="dxa" w:w="2376"/>
            <w:vAlign w:val="center"/>
            <w:tcMar>
              <w:top w:w="100" w:type="dxa"/>
              <w:start w:w="110" w:type="dxa"/>
              <w:bottom w:w="100" w:type="dxa"/>
              <w:end w:w="110" w:type="dxa"/>
            </w:tcMar>
            <w:shd w:fill="F2F6FA"/>
          </w:tcPr>
          <w:p>
            <w:pPr>
              <w:spacing w:after="0" w:line="240" w:lineRule="auto"/>
            </w:pPr>
            <w:r>
              <w:rPr>
                <w:sz w:val="17"/>
              </w:rPr>
              <w:t>Ingestion managed identity</w:t>
            </w:r>
          </w:p>
        </w:tc>
        <w:tc>
          <w:tcPr>
            <w:tcW w:type="dxa" w:w="3600"/>
            <w:vAlign w:val="center"/>
            <w:tcMar>
              <w:top w:w="100" w:type="dxa"/>
              <w:start w:w="110" w:type="dxa"/>
              <w:bottom w:w="100" w:type="dxa"/>
              <w:end w:w="110" w:type="dxa"/>
            </w:tcMar>
            <w:shd w:fill="F2F6FA"/>
          </w:tcPr>
          <w:p>
            <w:pPr>
              <w:spacing w:after="0" w:line="240" w:lineRule="auto"/>
            </w:pPr>
            <w:r>
              <w:rPr>
                <w:sz w:val="17"/>
              </w:rPr>
              <w:t>Blob contributor, Key Vault read only if needed</w:t>
            </w:r>
          </w:p>
        </w:tc>
        <w:tc>
          <w:tcPr>
            <w:tcW w:type="dxa" w:w="3600"/>
            <w:vAlign w:val="center"/>
            <w:tcMar>
              <w:top w:w="100" w:type="dxa"/>
              <w:start w:w="110" w:type="dxa"/>
              <w:bottom w:w="100" w:type="dxa"/>
              <w:end w:w="110" w:type="dxa"/>
            </w:tcMar>
            <w:shd w:fill="F2F6FA"/>
          </w:tcPr>
          <w:p>
            <w:pPr>
              <w:spacing w:after="0" w:line="240" w:lineRule="auto"/>
            </w:pPr>
            <w:r>
              <w:rPr>
                <w:sz w:val="17"/>
              </w:rPr>
              <w:t>Execute loader and write staging only</w:t>
            </w:r>
          </w:p>
        </w:tc>
      </w:tr>
      <w:tr>
        <w:trPr>
          <w:cantSplit/>
        </w:trPr>
        <w:tc>
          <w:tcPr>
            <w:tcW w:type="dxa" w:w="2376"/>
            <w:vAlign w:val="center"/>
            <w:tcMar>
              <w:top w:w="100" w:type="dxa"/>
              <w:start w:w="110" w:type="dxa"/>
              <w:bottom w:w="100" w:type="dxa"/>
              <w:end w:w="110" w:type="dxa"/>
            </w:tcMar>
          </w:tcPr>
          <w:p>
            <w:pPr>
              <w:spacing w:after="0" w:line="240" w:lineRule="auto"/>
            </w:pPr>
            <w:r>
              <w:rPr>
                <w:sz w:val="17"/>
              </w:rPr>
              <w:t>Analyst group</w:t>
            </w:r>
          </w:p>
        </w:tc>
        <w:tc>
          <w:tcPr>
            <w:tcW w:type="dxa" w:w="3600"/>
            <w:vAlign w:val="center"/>
            <w:tcMar>
              <w:top w:w="100" w:type="dxa"/>
              <w:start w:w="110" w:type="dxa"/>
              <w:bottom w:w="100" w:type="dxa"/>
              <w:end w:w="110" w:type="dxa"/>
            </w:tcMar>
          </w:tcPr>
          <w:p>
            <w:pPr>
              <w:spacing w:after="0" w:line="240" w:lineRule="auto"/>
            </w:pPr>
            <w:r>
              <w:rPr>
                <w:sz w:val="17"/>
              </w:rPr>
              <w:t>Minimal resource reader</w:t>
            </w:r>
          </w:p>
        </w:tc>
        <w:tc>
          <w:tcPr>
            <w:tcW w:type="dxa" w:w="3600"/>
            <w:vAlign w:val="center"/>
            <w:tcMar>
              <w:top w:w="100" w:type="dxa"/>
              <w:start w:w="110" w:type="dxa"/>
              <w:bottom w:w="100" w:type="dxa"/>
              <w:end w:w="110" w:type="dxa"/>
            </w:tcMar>
          </w:tcPr>
          <w:p>
            <w:pPr>
              <w:spacing w:after="0" w:line="240" w:lineRule="auto"/>
            </w:pPr>
            <w:r>
              <w:rPr>
                <w:sz w:val="17"/>
              </w:rPr>
              <w:t>SELECT certified mart views</w:t>
            </w:r>
          </w:p>
        </w:tc>
      </w:tr>
      <w:tr>
        <w:trPr>
          <w:cantSplit/>
        </w:trPr>
        <w:tc>
          <w:tcPr>
            <w:tcW w:type="dxa" w:w="2376"/>
            <w:vAlign w:val="center"/>
            <w:tcMar>
              <w:top w:w="100" w:type="dxa"/>
              <w:start w:w="110" w:type="dxa"/>
              <w:bottom w:w="100" w:type="dxa"/>
              <w:end w:w="110" w:type="dxa"/>
            </w:tcMar>
            <w:shd w:fill="F2F6FA"/>
          </w:tcPr>
          <w:p>
            <w:pPr>
              <w:spacing w:after="0" w:line="240" w:lineRule="auto"/>
            </w:pPr>
            <w:r>
              <w:rPr>
                <w:sz w:val="17"/>
              </w:rPr>
              <w:t>Power BI identity</w:t>
            </w:r>
          </w:p>
        </w:tc>
        <w:tc>
          <w:tcPr>
            <w:tcW w:type="dxa" w:w="3600"/>
            <w:vAlign w:val="center"/>
            <w:tcMar>
              <w:top w:w="100" w:type="dxa"/>
              <w:start w:w="110" w:type="dxa"/>
              <w:bottom w:w="100" w:type="dxa"/>
              <w:end w:w="110" w:type="dxa"/>
            </w:tcMar>
            <w:shd w:fill="F2F6FA"/>
          </w:tcPr>
          <w:p>
            <w:pPr>
              <w:spacing w:after="0" w:line="240" w:lineRule="auto"/>
            </w:pPr>
            <w:r>
              <w:rPr>
                <w:sz w:val="17"/>
              </w:rPr>
              <w:t>Network and SQL connection only</w:t>
            </w:r>
          </w:p>
        </w:tc>
        <w:tc>
          <w:tcPr>
            <w:tcW w:type="dxa" w:w="3600"/>
            <w:vAlign w:val="center"/>
            <w:tcMar>
              <w:top w:w="100" w:type="dxa"/>
              <w:start w:w="110" w:type="dxa"/>
              <w:bottom w:w="100" w:type="dxa"/>
              <w:end w:w="110" w:type="dxa"/>
            </w:tcMar>
            <w:shd w:fill="F2F6FA"/>
          </w:tcPr>
          <w:p>
            <w:pPr>
              <w:spacing w:after="0" w:line="240" w:lineRule="auto"/>
            </w:pPr>
            <w:r>
              <w:rPr>
                <w:sz w:val="17"/>
              </w:rPr>
              <w:t>SELECT curated views</w:t>
            </w:r>
          </w:p>
        </w:tc>
      </w:tr>
      <w:tr>
        <w:trPr>
          <w:cantSplit/>
        </w:trPr>
        <w:tc>
          <w:tcPr>
            <w:tcW w:type="dxa" w:w="2376"/>
            <w:vAlign w:val="center"/>
            <w:tcMar>
              <w:top w:w="100" w:type="dxa"/>
              <w:start w:w="110" w:type="dxa"/>
              <w:bottom w:w="100" w:type="dxa"/>
              <w:end w:w="110" w:type="dxa"/>
            </w:tcMar>
          </w:tcPr>
          <w:p>
            <w:pPr>
              <w:spacing w:after="0" w:line="240" w:lineRule="auto"/>
            </w:pPr>
            <w:r>
              <w:rPr>
                <w:sz w:val="17"/>
              </w:rPr>
              <w:t>GitHub deployment identity</w:t>
            </w:r>
          </w:p>
        </w:tc>
        <w:tc>
          <w:tcPr>
            <w:tcW w:type="dxa" w:w="3600"/>
            <w:vAlign w:val="center"/>
            <w:tcMar>
              <w:top w:w="100" w:type="dxa"/>
              <w:start w:w="110" w:type="dxa"/>
              <w:bottom w:w="100" w:type="dxa"/>
              <w:end w:w="110" w:type="dxa"/>
            </w:tcMar>
          </w:tcPr>
          <w:p>
            <w:pPr>
              <w:spacing w:after="0" w:line="240" w:lineRule="auto"/>
            </w:pPr>
            <w:r>
              <w:rPr>
                <w:sz w:val="17"/>
              </w:rPr>
              <w:t>OIDC and scoped deployment role</w:t>
            </w:r>
          </w:p>
        </w:tc>
        <w:tc>
          <w:tcPr>
            <w:tcW w:type="dxa" w:w="3600"/>
            <w:vAlign w:val="center"/>
            <w:tcMar>
              <w:top w:w="100" w:type="dxa"/>
              <w:start w:w="110" w:type="dxa"/>
              <w:bottom w:w="100" w:type="dxa"/>
              <w:end w:w="110" w:type="dxa"/>
            </w:tcMar>
          </w:tcPr>
          <w:p>
            <w:pPr>
              <w:spacing w:after="0" w:line="240" w:lineRule="auto"/>
            </w:pPr>
            <w:r>
              <w:rPr>
                <w:sz w:val="17"/>
              </w:rPr>
              <w:t>Migration runner for approved workflow</w:t>
            </w:r>
          </w:p>
        </w:tc>
      </w:tr>
    </w:tbl>
    <w:p>
      <w:pPr>
        <w:spacing w:after="40"/>
      </w:pPr>
    </w:p>
    <w:p>
      <w:r>
        <w:t>Prefer Entra-only SQL authentication, MFA for humans and managed identities for Azure workloads. Azure resource RBAC and SQL database permissions are separate controls. Use private endpoints after the MVP is stable; during development use narrowly scoped firewall access. Enable Key Vault soft delete, diagnostic logs, encryption, SQL auditing and periodic access reviews.</w:t>
      </w:r>
    </w:p>
    <w:p>
      <w:pPr>
        <w:pStyle w:val="Heading1"/>
      </w:pPr>
      <w:r>
        <w:t>Power BI experience</w:t>
      </w:r>
    </w:p>
    <w:p>
      <w:r>
        <w:t>Build a star-schema semantic model over mart views. Use Import mode and incremental refresh by as_of_date. Suggested pages: shortlist; map and cohorts; price/rent trends; demand/supply; access/infrastructure; constraints; source freshness/quality; and property scenarios. Each score visual shows component values, coverage, latest publication date, provisional status and uncertainty grade.</w:t>
      </w:r>
    </w:p>
    <w:p>
      <w:pPr>
        <w:pStyle w:val="Heading1"/>
      </w:pPr>
      <w:r>
        <w:t>Delivery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1800"/>
            <w:shd w:fill="17365D"/>
            <w:vAlign w:val="center"/>
            <w:tcMar>
              <w:top w:w="100" w:type="dxa"/>
              <w:start w:w="110" w:type="dxa"/>
              <w:bottom w:w="100" w:type="dxa"/>
              <w:end w:w="110" w:type="dxa"/>
            </w:tcMar>
          </w:tcPr>
          <w:p>
            <w:r>
              <w:rPr>
                <w:b/>
                <w:color w:val="FFFFFF"/>
                <w:sz w:val="18"/>
              </w:rPr>
              <w:t>Phase</w:t>
            </w:r>
          </w:p>
        </w:tc>
        <w:tc>
          <w:tcPr>
            <w:tcW w:type="dxa" w:w="1512"/>
            <w:shd w:fill="17365D"/>
            <w:vAlign w:val="center"/>
            <w:tcMar>
              <w:top w:w="100" w:type="dxa"/>
              <w:start w:w="110" w:type="dxa"/>
              <w:bottom w:w="100" w:type="dxa"/>
              <w:end w:w="110" w:type="dxa"/>
            </w:tcMar>
          </w:tcPr>
          <w:p>
            <w:r>
              <w:rPr>
                <w:b/>
                <w:color w:val="FFFFFF"/>
                <w:sz w:val="18"/>
              </w:rPr>
              <w:t>Timing</w:t>
            </w:r>
          </w:p>
        </w:tc>
        <w:tc>
          <w:tcPr>
            <w:tcW w:type="dxa" w:w="6264"/>
            <w:shd w:fill="17365D"/>
            <w:vAlign w:val="center"/>
            <w:tcMar>
              <w:top w:w="100" w:type="dxa"/>
              <w:start w:w="110" w:type="dxa"/>
              <w:bottom w:w="100" w:type="dxa"/>
              <w:end w:w="110" w:type="dxa"/>
            </w:tcMar>
          </w:tcPr>
          <w:p>
            <w:r>
              <w:rPr>
                <w:b/>
                <w:color w:val="FFFFFF"/>
                <w:sz w:val="18"/>
              </w:rPr>
              <w:t>Exit result</w:t>
            </w:r>
          </w:p>
        </w:tc>
      </w:tr>
      <w:tr>
        <w:trPr>
          <w:cantSplit/>
        </w:trPr>
        <w:tc>
          <w:tcPr>
            <w:tcW w:type="dxa" w:w="1800"/>
            <w:vAlign w:val="center"/>
            <w:tcMar>
              <w:top w:w="100" w:type="dxa"/>
              <w:start w:w="110" w:type="dxa"/>
              <w:bottom w:w="100" w:type="dxa"/>
              <w:end w:w="110" w:type="dxa"/>
            </w:tcMar>
          </w:tcPr>
          <w:p>
            <w:pPr>
              <w:spacing w:after="0" w:line="240" w:lineRule="auto"/>
            </w:pPr>
            <w:r>
              <w:rPr>
                <w:sz w:val="17"/>
              </w:rPr>
              <w:t>0 Define</w:t>
            </w:r>
          </w:p>
        </w:tc>
        <w:tc>
          <w:tcPr>
            <w:tcW w:type="dxa" w:w="1512"/>
            <w:vAlign w:val="center"/>
            <w:tcMar>
              <w:top w:w="100" w:type="dxa"/>
              <w:start w:w="110" w:type="dxa"/>
              <w:bottom w:w="100" w:type="dxa"/>
              <w:end w:w="110" w:type="dxa"/>
            </w:tcMar>
          </w:tcPr>
          <w:p>
            <w:pPr>
              <w:spacing w:after="0" w:line="240" w:lineRule="auto"/>
            </w:pPr>
            <w:r>
              <w:rPr>
                <w:sz w:val="17"/>
              </w:rPr>
              <w:t>Week 1</w:t>
            </w:r>
          </w:p>
        </w:tc>
        <w:tc>
          <w:tcPr>
            <w:tcW w:type="dxa" w:w="6264"/>
            <w:vAlign w:val="center"/>
            <w:tcMar>
              <w:top w:w="100" w:type="dxa"/>
              <w:start w:w="110" w:type="dxa"/>
              <w:bottom w:w="100" w:type="dxa"/>
              <w:end w:w="110" w:type="dxa"/>
            </w:tcMar>
          </w:tcPr>
          <w:p>
            <w:pPr>
              <w:spacing w:after="0" w:line="240" w:lineRule="auto"/>
            </w:pPr>
            <w:r>
              <w:rPr>
                <w:sz w:val="17"/>
              </w:rPr>
              <w:t>Buyer constraints, cohorts, data register, licences, score contract and ADRs</w:t>
            </w:r>
          </w:p>
        </w:tc>
      </w:tr>
      <w:tr>
        <w:trPr>
          <w:cantSplit/>
        </w:trPr>
        <w:tc>
          <w:tcPr>
            <w:tcW w:type="dxa" w:w="1800"/>
            <w:vAlign w:val="center"/>
            <w:tcMar>
              <w:top w:w="100" w:type="dxa"/>
              <w:start w:w="110" w:type="dxa"/>
              <w:bottom w:w="100" w:type="dxa"/>
              <w:end w:w="110" w:type="dxa"/>
            </w:tcMar>
            <w:shd w:fill="F2F6FA"/>
          </w:tcPr>
          <w:p>
            <w:pPr>
              <w:spacing w:after="0" w:line="240" w:lineRule="auto"/>
            </w:pPr>
            <w:r>
              <w:rPr>
                <w:sz w:val="17"/>
              </w:rPr>
              <w:t>1 Foundation</w:t>
            </w:r>
          </w:p>
        </w:tc>
        <w:tc>
          <w:tcPr>
            <w:tcW w:type="dxa" w:w="1512"/>
            <w:vAlign w:val="center"/>
            <w:tcMar>
              <w:top w:w="100" w:type="dxa"/>
              <w:start w:w="110" w:type="dxa"/>
              <w:bottom w:w="100" w:type="dxa"/>
              <w:end w:w="110" w:type="dxa"/>
            </w:tcMar>
            <w:shd w:fill="F2F6FA"/>
          </w:tcPr>
          <w:p>
            <w:pPr>
              <w:spacing w:after="0" w:line="240" w:lineRule="auto"/>
            </w:pPr>
            <w:r>
              <w:rPr>
                <w:sz w:val="17"/>
              </w:rPr>
              <w:t>Weeks 2-3</w:t>
            </w:r>
          </w:p>
        </w:tc>
        <w:tc>
          <w:tcPr>
            <w:tcW w:type="dxa" w:w="6264"/>
            <w:vAlign w:val="center"/>
            <w:tcMar>
              <w:top w:w="100" w:type="dxa"/>
              <w:start w:w="110" w:type="dxa"/>
              <w:bottom w:w="100" w:type="dxa"/>
              <w:end w:w="110" w:type="dxa"/>
            </w:tcMar>
            <w:shd w:fill="F2F6FA"/>
          </w:tcPr>
          <w:p>
            <w:pPr>
              <w:spacing w:after="0" w:line="240" w:lineRule="auto"/>
            </w:pPr>
            <w:r>
              <w:rPr>
                <w:sz w:val="17"/>
              </w:rPr>
              <w:t>Bicep, OIDC, storage, SQL, Function, Key Vault, monitoring and CI</w:t>
            </w:r>
          </w:p>
        </w:tc>
      </w:tr>
      <w:tr>
        <w:trPr>
          <w:cantSplit/>
        </w:trPr>
        <w:tc>
          <w:tcPr>
            <w:tcW w:type="dxa" w:w="1800"/>
            <w:vAlign w:val="center"/>
            <w:tcMar>
              <w:top w:w="100" w:type="dxa"/>
              <w:start w:w="110" w:type="dxa"/>
              <w:bottom w:w="100" w:type="dxa"/>
              <w:end w:w="110" w:type="dxa"/>
            </w:tcMar>
          </w:tcPr>
          <w:p>
            <w:pPr>
              <w:spacing w:after="0" w:line="240" w:lineRule="auto"/>
            </w:pPr>
            <w:r>
              <w:rPr>
                <w:sz w:val="17"/>
              </w:rPr>
              <w:t>2 Core market</w:t>
            </w:r>
          </w:p>
        </w:tc>
        <w:tc>
          <w:tcPr>
            <w:tcW w:type="dxa" w:w="1512"/>
            <w:vAlign w:val="center"/>
            <w:tcMar>
              <w:top w:w="100" w:type="dxa"/>
              <w:start w:w="110" w:type="dxa"/>
              <w:bottom w:w="100" w:type="dxa"/>
              <w:end w:w="110" w:type="dxa"/>
            </w:tcMar>
          </w:tcPr>
          <w:p>
            <w:pPr>
              <w:spacing w:after="0" w:line="240" w:lineRule="auto"/>
            </w:pPr>
            <w:r>
              <w:rPr>
                <w:sz w:val="17"/>
              </w:rPr>
              <w:t>Weeks 4-5</w:t>
            </w:r>
          </w:p>
        </w:tc>
        <w:tc>
          <w:tcPr>
            <w:tcW w:type="dxa" w:w="6264"/>
            <w:vAlign w:val="center"/>
            <w:tcMar>
              <w:top w:w="100" w:type="dxa"/>
              <w:start w:w="110" w:type="dxa"/>
              <w:bottom w:w="100" w:type="dxa"/>
              <w:end w:w="110" w:type="dxa"/>
            </w:tcMar>
          </w:tcPr>
          <w:p>
            <w:pPr>
              <w:spacing w:after="0" w:line="240" w:lineRule="auto"/>
            </w:pPr>
            <w:r>
              <w:rPr>
                <w:sz w:val="17"/>
              </w:rPr>
              <w:t>Sales and rents, manifests, crosswalk, quality tests and first mart</w:t>
            </w:r>
          </w:p>
        </w:tc>
      </w:tr>
      <w:tr>
        <w:trPr>
          <w:cantSplit/>
        </w:trPr>
        <w:tc>
          <w:tcPr>
            <w:tcW w:type="dxa" w:w="1800"/>
            <w:vAlign w:val="center"/>
            <w:tcMar>
              <w:top w:w="100" w:type="dxa"/>
              <w:start w:w="110" w:type="dxa"/>
              <w:bottom w:w="100" w:type="dxa"/>
              <w:end w:w="110" w:type="dxa"/>
            </w:tcMar>
            <w:shd w:fill="F2F6FA"/>
          </w:tcPr>
          <w:p>
            <w:pPr>
              <w:spacing w:after="0" w:line="240" w:lineRule="auto"/>
            </w:pPr>
            <w:r>
              <w:rPr>
                <w:sz w:val="17"/>
              </w:rPr>
              <w:t>3 Demand and supply</w:t>
            </w:r>
          </w:p>
        </w:tc>
        <w:tc>
          <w:tcPr>
            <w:tcW w:type="dxa" w:w="1512"/>
            <w:vAlign w:val="center"/>
            <w:tcMar>
              <w:top w:w="100" w:type="dxa"/>
              <w:start w:w="110" w:type="dxa"/>
              <w:bottom w:w="100" w:type="dxa"/>
              <w:end w:w="110" w:type="dxa"/>
            </w:tcMar>
            <w:shd w:fill="F2F6FA"/>
          </w:tcPr>
          <w:p>
            <w:pPr>
              <w:spacing w:after="0" w:line="240" w:lineRule="auto"/>
            </w:pPr>
            <w:r>
              <w:rPr>
                <w:sz w:val="17"/>
              </w:rPr>
              <w:t>Weeks 6-7</w:t>
            </w:r>
          </w:p>
        </w:tc>
        <w:tc>
          <w:tcPr>
            <w:tcW w:type="dxa" w:w="6264"/>
            <w:vAlign w:val="center"/>
            <w:tcMar>
              <w:top w:w="100" w:type="dxa"/>
              <w:start w:w="110" w:type="dxa"/>
              <w:bottom w:w="100" w:type="dxa"/>
              <w:end w:w="110" w:type="dxa"/>
            </w:tcMar>
            <w:shd w:fill="F2F6FA"/>
          </w:tcPr>
          <w:p>
            <w:pPr>
              <w:spacing w:after="0" w:line="240" w:lineRule="auto"/>
            </w:pPr>
            <w:r>
              <w:rPr>
                <w:sz w:val="17"/>
              </w:rPr>
              <w:t>VIF, ABS, approvals, planning, UDP, infrastructure and SCD2</w:t>
            </w:r>
          </w:p>
        </w:tc>
      </w:tr>
      <w:tr>
        <w:trPr>
          <w:cantSplit/>
        </w:trPr>
        <w:tc>
          <w:tcPr>
            <w:tcW w:type="dxa" w:w="1800"/>
            <w:vAlign w:val="center"/>
            <w:tcMar>
              <w:top w:w="100" w:type="dxa"/>
              <w:start w:w="110" w:type="dxa"/>
              <w:bottom w:w="100" w:type="dxa"/>
              <w:end w:w="110" w:type="dxa"/>
            </w:tcMar>
          </w:tcPr>
          <w:p>
            <w:pPr>
              <w:spacing w:after="0" w:line="240" w:lineRule="auto"/>
            </w:pPr>
            <w:r>
              <w:rPr>
                <w:sz w:val="17"/>
              </w:rPr>
              <w:t>4 Context and scoring</w:t>
            </w:r>
          </w:p>
        </w:tc>
        <w:tc>
          <w:tcPr>
            <w:tcW w:type="dxa" w:w="1512"/>
            <w:vAlign w:val="center"/>
            <w:tcMar>
              <w:top w:w="100" w:type="dxa"/>
              <w:start w:w="110" w:type="dxa"/>
              <w:bottom w:w="100" w:type="dxa"/>
              <w:end w:w="110" w:type="dxa"/>
            </w:tcMar>
          </w:tcPr>
          <w:p>
            <w:pPr>
              <w:spacing w:after="0" w:line="240" w:lineRule="auto"/>
            </w:pPr>
            <w:r>
              <w:rPr>
                <w:sz w:val="17"/>
              </w:rPr>
              <w:t>Weeks 8-9</w:t>
            </w:r>
          </w:p>
        </w:tc>
        <w:tc>
          <w:tcPr>
            <w:tcW w:type="dxa" w:w="6264"/>
            <w:vAlign w:val="center"/>
            <w:tcMar>
              <w:top w:w="100" w:type="dxa"/>
              <w:start w:w="110" w:type="dxa"/>
              <w:bottom w:w="100" w:type="dxa"/>
              <w:end w:w="110" w:type="dxa"/>
            </w:tcMar>
          </w:tcPr>
          <w:p>
            <w:pPr>
              <w:spacing w:after="0" w:line="240" w:lineRule="auto"/>
            </w:pPr>
            <w:r>
              <w:rPr>
                <w:sz w:val="17"/>
              </w:rPr>
              <w:t>Transport, crime, hazards and point-in-time score snapshots</w:t>
            </w:r>
          </w:p>
        </w:tc>
      </w:tr>
      <w:tr>
        <w:trPr>
          <w:cantSplit/>
        </w:trPr>
        <w:tc>
          <w:tcPr>
            <w:tcW w:type="dxa" w:w="1800"/>
            <w:vAlign w:val="center"/>
            <w:tcMar>
              <w:top w:w="100" w:type="dxa"/>
              <w:start w:w="110" w:type="dxa"/>
              <w:bottom w:w="100" w:type="dxa"/>
              <w:end w:w="110" w:type="dxa"/>
            </w:tcMar>
            <w:shd w:fill="F2F6FA"/>
          </w:tcPr>
          <w:p>
            <w:pPr>
              <w:spacing w:after="0" w:line="240" w:lineRule="auto"/>
            </w:pPr>
            <w:r>
              <w:rPr>
                <w:sz w:val="17"/>
              </w:rPr>
              <w:t>5 BI</w:t>
            </w:r>
          </w:p>
        </w:tc>
        <w:tc>
          <w:tcPr>
            <w:tcW w:type="dxa" w:w="1512"/>
            <w:vAlign w:val="center"/>
            <w:tcMar>
              <w:top w:w="100" w:type="dxa"/>
              <w:start w:w="110" w:type="dxa"/>
              <w:bottom w:w="100" w:type="dxa"/>
              <w:end w:w="110" w:type="dxa"/>
            </w:tcMar>
            <w:shd w:fill="F2F6FA"/>
          </w:tcPr>
          <w:p>
            <w:pPr>
              <w:spacing w:after="0" w:line="240" w:lineRule="auto"/>
            </w:pPr>
            <w:r>
              <w:rPr>
                <w:sz w:val="17"/>
              </w:rPr>
              <w:t>Week 10</w:t>
            </w:r>
          </w:p>
        </w:tc>
        <w:tc>
          <w:tcPr>
            <w:tcW w:type="dxa" w:w="6264"/>
            <w:vAlign w:val="center"/>
            <w:tcMar>
              <w:top w:w="100" w:type="dxa"/>
              <w:start w:w="110" w:type="dxa"/>
              <w:bottom w:w="100" w:type="dxa"/>
              <w:end w:w="110" w:type="dxa"/>
            </w:tcMar>
            <w:shd w:fill="F2F6FA"/>
          </w:tcPr>
          <w:p>
            <w:pPr>
              <w:spacing w:after="0" w:line="240" w:lineRule="auto"/>
            </w:pPr>
            <w:r>
              <w:rPr>
                <w:sz w:val="17"/>
              </w:rPr>
              <w:t>Power BI model, report pages and sensitivity controls</w:t>
            </w:r>
          </w:p>
        </w:tc>
      </w:tr>
      <w:tr>
        <w:trPr>
          <w:cantSplit/>
        </w:trPr>
        <w:tc>
          <w:tcPr>
            <w:tcW w:type="dxa" w:w="1800"/>
            <w:vAlign w:val="center"/>
            <w:tcMar>
              <w:top w:w="100" w:type="dxa"/>
              <w:start w:w="110" w:type="dxa"/>
              <w:bottom w:w="100" w:type="dxa"/>
              <w:end w:w="110" w:type="dxa"/>
            </w:tcMar>
          </w:tcPr>
          <w:p>
            <w:pPr>
              <w:spacing w:after="0" w:line="240" w:lineRule="auto"/>
            </w:pPr>
            <w:r>
              <w:rPr>
                <w:sz w:val="17"/>
              </w:rPr>
              <w:t>6 Operate</w:t>
            </w:r>
          </w:p>
        </w:tc>
        <w:tc>
          <w:tcPr>
            <w:tcW w:type="dxa" w:w="1512"/>
            <w:vAlign w:val="center"/>
            <w:tcMar>
              <w:top w:w="100" w:type="dxa"/>
              <w:start w:w="110" w:type="dxa"/>
              <w:bottom w:w="100" w:type="dxa"/>
              <w:end w:w="110" w:type="dxa"/>
            </w:tcMar>
          </w:tcPr>
          <w:p>
            <w:pPr>
              <w:spacing w:after="0" w:line="240" w:lineRule="auto"/>
            </w:pPr>
            <w:r>
              <w:rPr>
                <w:sz w:val="17"/>
              </w:rPr>
              <w:t>Week 11</w:t>
            </w:r>
          </w:p>
        </w:tc>
        <w:tc>
          <w:tcPr>
            <w:tcW w:type="dxa" w:w="6264"/>
            <w:vAlign w:val="center"/>
            <w:tcMar>
              <w:top w:w="100" w:type="dxa"/>
              <w:start w:w="110" w:type="dxa"/>
              <w:bottom w:w="100" w:type="dxa"/>
              <w:end w:w="110" w:type="dxa"/>
            </w:tcMar>
          </w:tcPr>
          <w:p>
            <w:pPr>
              <w:spacing w:after="0" w:line="240" w:lineRule="auto"/>
            </w:pPr>
            <w:r>
              <w:rPr>
                <w:sz w:val="17"/>
              </w:rPr>
              <w:t>Resend, SLOs, runbooks, restore/backfill test and production deployment</w:t>
            </w:r>
          </w:p>
        </w:tc>
      </w:tr>
      <w:tr>
        <w:trPr>
          <w:cantSplit/>
        </w:trPr>
        <w:tc>
          <w:tcPr>
            <w:tcW w:type="dxa" w:w="1800"/>
            <w:vAlign w:val="center"/>
            <w:tcMar>
              <w:top w:w="100" w:type="dxa"/>
              <w:start w:w="110" w:type="dxa"/>
              <w:bottom w:w="100" w:type="dxa"/>
              <w:end w:w="110" w:type="dxa"/>
            </w:tcMar>
            <w:shd w:fill="F2F6FA"/>
          </w:tcPr>
          <w:p>
            <w:pPr>
              <w:spacing w:after="0" w:line="240" w:lineRule="auto"/>
            </w:pPr>
            <w:r>
              <w:rPr>
                <w:sz w:val="17"/>
              </w:rPr>
              <w:t>7 Improve</w:t>
            </w:r>
          </w:p>
        </w:tc>
        <w:tc>
          <w:tcPr>
            <w:tcW w:type="dxa" w:w="1512"/>
            <w:vAlign w:val="center"/>
            <w:tcMar>
              <w:top w:w="100" w:type="dxa"/>
              <w:start w:w="110" w:type="dxa"/>
              <w:bottom w:w="100" w:type="dxa"/>
              <w:end w:w="110" w:type="dxa"/>
            </w:tcMar>
            <w:shd w:fill="F2F6FA"/>
          </w:tcPr>
          <w:p>
            <w:pPr>
              <w:spacing w:after="0" w:line="240" w:lineRule="auto"/>
            </w:pPr>
            <w:r>
              <w:rPr>
                <w:sz w:val="17"/>
              </w:rPr>
              <w:t>Ongoing</w:t>
            </w:r>
          </w:p>
        </w:tc>
        <w:tc>
          <w:tcPr>
            <w:tcW w:type="dxa" w:w="6264"/>
            <w:vAlign w:val="center"/>
            <w:tcMar>
              <w:top w:w="100" w:type="dxa"/>
              <w:start w:w="110" w:type="dxa"/>
              <w:bottom w:w="100" w:type="dxa"/>
              <w:end w:w="110" w:type="dxa"/>
            </w:tcMar>
            <w:shd w:fill="F2F6FA"/>
          </w:tcPr>
          <w:p>
            <w:pPr>
              <w:spacing w:after="0" w:line="240" w:lineRule="auto"/>
            </w:pPr>
            <w:r>
              <w:rPr>
                <w:sz w:val="17"/>
              </w:rPr>
              <w:t>Backtests, calibration, drift review and property due diligence workflow</w:t>
            </w:r>
          </w:p>
        </w:tc>
      </w:tr>
    </w:tbl>
    <w:p>
      <w:pPr>
        <w:spacing w:after="40"/>
      </w:pPr>
    </w:p>
    <w:p>
      <w:pPr>
        <w:pStyle w:val="Heading1"/>
      </w:pPr>
      <w:r>
        <w:t>First twelve implementation tickets</w:t>
      </w:r>
    </w:p>
    <w:p>
      <w:pPr>
        <w:pStyle w:val="ListNumber"/>
      </w:pPr>
      <w:r>
        <w:t>Create repository, branch rules, issue templates and architecture decision record template.</w:t>
      </w:r>
    </w:p>
    <w:p>
      <w:pPr>
        <w:pStyle w:val="ListNumber"/>
      </w:pPr>
      <w:r>
        <w:t>Write Bicep for resource group, storage, Key Vault, Function, SQL, monitoring, tags and budget.</w:t>
      </w:r>
    </w:p>
    <w:p>
      <w:pPr>
        <w:pStyle w:val="ListNumber"/>
      </w:pPr>
      <w:r>
        <w:t>Configure GitHub-to-Azure OIDC with separate development and production environments.</w:t>
      </w:r>
    </w:p>
    <w:p>
      <w:pPr>
        <w:pStyle w:val="ListNumber"/>
      </w:pPr>
      <w:r>
        <w:t>Implement source-adapter interface and immutable manifest writer.</w:t>
      </w:r>
    </w:p>
    <w:p>
      <w:pPr>
        <w:pStyle w:val="ListNumber"/>
      </w:pPr>
      <w:r>
        <w:t>Build VGV sales adapter with historical fixtures and revision detection.</w:t>
      </w:r>
    </w:p>
    <w:p>
      <w:pPr>
        <w:pStyle w:val="ListNumber"/>
      </w:pPr>
      <w:r>
        <w:t>Build Homes Victoria rent adapter and dwelling-type mapping.</w:t>
      </w:r>
    </w:p>
    <w:p>
      <w:pPr>
        <w:pStyle w:val="ListNumber"/>
      </w:pPr>
      <w:r>
        <w:t>Create geography dimension and explicit crosswalk confidence workflow.</w:t>
      </w:r>
    </w:p>
    <w:p>
      <w:pPr>
        <w:pStyle w:val="ListNumber"/>
      </w:pPr>
      <w:r>
        <w:t>Create SQL migrations for meta, core, mart and audit schemas.</w:t>
      </w:r>
    </w:p>
    <w:p>
      <w:pPr>
        <w:pStyle w:val="ListNumber"/>
      </w:pPr>
      <w:r>
        <w:t>Implement quality result storage, quarantine and pipeline failure policy.</w:t>
      </w:r>
    </w:p>
    <w:p>
      <w:pPr>
        <w:pStyle w:val="ListNumber"/>
      </w:pPr>
      <w:r>
        <w:t>Build the first feature snapshot with growth, liquidity and estimated gross yield.</w:t>
      </w:r>
    </w:p>
    <w:p>
      <w:pPr>
        <w:pStyle w:val="ListNumber"/>
      </w:pPr>
      <w:r>
        <w:t>Publish a Power BI shortlist page with freshness and uncertainty.</w:t>
      </w:r>
    </w:p>
    <w:p>
      <w:pPr>
        <w:pStyle w:val="ListNumber"/>
      </w:pPr>
      <w:r>
        <w:t>Implement a Resend test alert with Key Vault and idempotency.</w:t>
      </w:r>
    </w:p>
    <w:p>
      <w:pPr>
        <w:pStyle w:val="Heading1"/>
      </w:pPr>
      <w:r>
        <w:t>Definition of done</w:t>
      </w:r>
    </w:p>
    <w:p>
      <w:pPr>
        <w:pStyle w:val="ListBullet"/>
      </w:pPr>
      <w:r>
        <w:t>An empty environment deploys through reviewed infrastructure as code.</w:t>
      </w:r>
    </w:p>
    <w:p>
      <w:pPr>
        <w:pStyle w:val="ListBullet"/>
      </w:pPr>
      <w:r>
        <w:t>GitHub stores no long-lived Azure credential and applications store no database password.</w:t>
      </w:r>
    </w:p>
    <w:p>
      <w:pPr>
        <w:pStyle w:val="ListBullet"/>
      </w:pPr>
      <w:r>
        <w:t>Every source has a licence, owner, cadence, contract and freshness rule.</w:t>
      </w:r>
    </w:p>
    <w:p>
      <w:pPr>
        <w:pStyle w:val="ListBullet"/>
      </w:pPr>
      <w:r>
        <w:t>A rerun creates no duplicate curated row and raw lineage reproduces every mart value.</w:t>
      </w:r>
    </w:p>
    <w:p>
      <w:pPr>
        <w:pStyle w:val="ListBullet"/>
      </w:pPr>
      <w:r>
        <w:t>Critical quality failures block Gold and create a visible operational event.</w:t>
      </w:r>
    </w:p>
    <w:p>
      <w:pPr>
        <w:pStyle w:val="ListBullet"/>
      </w:pPr>
      <w:r>
        <w:t>Least-privilege tests validate Azure and SQL roles.</w:t>
      </w:r>
    </w:p>
    <w:p>
      <w:pPr>
        <w:pStyle w:val="ListBullet"/>
      </w:pPr>
      <w:r>
        <w:t>Power BI exposes score version, source dates, coverage and uncertainty.</w:t>
      </w:r>
    </w:p>
    <w:p>
      <w:pPr>
        <w:pStyle w:val="ListBullet"/>
      </w:pPr>
      <w:r>
        <w:t>Alerts are deduplicated and monthly Azure cost has a budget and kill switch.</w:t>
      </w:r>
    </w:p>
    <w:p>
      <w:pPr>
        <w:pStyle w:val="ListBullet"/>
      </w:pPr>
      <w:r>
        <w:t>A restore and historical backfill drill completes from the runbook.</w:t>
      </w:r>
    </w:p>
    <w:p>
      <w:pPr>
        <w:pStyle w:val="Heading1"/>
      </w:pPr>
      <w:r>
        <w:t>Limits and buying decision</w:t>
      </w:r>
    </w:p>
    <w:p>
      <w:r>
        <w:t>No open dataset can identify guaranteed maximum growth. Suburb medians are not repeat-sales or hedonic indices and can move because the properties sold changed. Rent medians omit many costs. Government projections and projects can change. Treat ranks as screening evidence. Before purchase, obtain an inspection, comparable sales, contract and Section 32 review, finance stress test, insurance quote, planning/council checks and licensed legal, tax and financial advice.</w:t>
      </w:r>
    </w:p>
    <w:p>
      <w:pPr>
        <w:pStyle w:val="Heading1"/>
      </w:pPr>
      <w:r>
        <w:t>Primary sources</w:t>
      </w:r>
    </w:p>
    <w:p>
      <w:pPr>
        <w:pStyle w:val="ListBullet"/>
      </w:pPr>
      <w:hyperlink r:id="rId9">
        <w:r>
          <w:rPr>
            <w:color w:val="0563C1"/>
            <w:u w:val="single"/>
          </w:rPr>
          <w:t>Land Use Victoria - Property sales statistics</w:t>
        </w:r>
      </w:hyperlink>
    </w:p>
    <w:p>
      <w:pPr>
        <w:pStyle w:val="ListBullet"/>
      </w:pPr>
      <w:hyperlink r:id="rId10">
        <w:r>
          <w:rPr>
            <w:color w:val="0563C1"/>
            <w:u w:val="single"/>
          </w:rPr>
          <w:t>DataVic - Victorian Property Sales Report yearly summary</w:t>
        </w:r>
      </w:hyperlink>
    </w:p>
    <w:p>
      <w:pPr>
        <w:pStyle w:val="ListBullet"/>
      </w:pPr>
      <w:hyperlink r:id="rId11">
        <w:r>
          <w:rPr>
            <w:color w:val="0563C1"/>
            <w:u w:val="single"/>
          </w:rPr>
          <w:t>DataVic - Homes Victoria Rental Report</w:t>
        </w:r>
      </w:hyperlink>
    </w:p>
    <w:p>
      <w:pPr>
        <w:pStyle w:val="ListBullet"/>
      </w:pPr>
      <w:hyperlink r:id="rId12">
        <w:r>
          <w:rPr>
            <w:color w:val="0563C1"/>
            <w:u w:val="single"/>
          </w:rPr>
          <w:t>DataVic - Vicmap Planning REST API</w:t>
        </w:r>
      </w:hyperlink>
    </w:p>
    <w:p>
      <w:pPr>
        <w:pStyle w:val="ListBullet"/>
      </w:pPr>
      <w:hyperlink r:id="rId13">
        <w:r>
          <w:rPr>
            <w:color w:val="0563C1"/>
            <w:u w:val="single"/>
          </w:rPr>
          <w:t>DataVic - Vicmap as a Service</w:t>
        </w:r>
      </w:hyperlink>
    </w:p>
    <w:p>
      <w:pPr>
        <w:pStyle w:val="ListBullet"/>
      </w:pPr>
      <w:hyperlink r:id="rId14">
        <w:r>
          <w:rPr>
            <w:color w:val="0563C1"/>
            <w:u w:val="single"/>
          </w:rPr>
          <w:t>DataVic - GTFS Realtime</w:t>
        </w:r>
      </w:hyperlink>
    </w:p>
    <w:p>
      <w:pPr>
        <w:pStyle w:val="ListBullet"/>
      </w:pPr>
      <w:hyperlink r:id="rId15">
        <w:r>
          <w:rPr>
            <w:color w:val="0563C1"/>
            <w:u w:val="single"/>
          </w:rPr>
          <w:t>ABS - Data API user guide</w:t>
        </w:r>
      </w:hyperlink>
    </w:p>
    <w:p>
      <w:pPr>
        <w:pStyle w:val="ListBullet"/>
      </w:pPr>
      <w:hyperlink r:id="rId16">
        <w:r>
          <w:rPr>
            <w:color w:val="0563C1"/>
            <w:u w:val="single"/>
          </w:rPr>
          <w:t>ABS - Building Approvals methodology March 2026</w:t>
        </w:r>
      </w:hyperlink>
    </w:p>
    <w:p>
      <w:pPr>
        <w:pStyle w:val="ListBullet"/>
      </w:pPr>
      <w:hyperlink r:id="rId17">
        <w:r>
          <w:rPr>
            <w:color w:val="0563C1"/>
            <w:u w:val="single"/>
          </w:rPr>
          <w:t>DTP - Victoria in Future LGA data</w:t>
        </w:r>
      </w:hyperlink>
    </w:p>
    <w:p>
      <w:pPr>
        <w:pStyle w:val="ListBullet"/>
      </w:pPr>
      <w:hyperlink r:id="rId18">
        <w:r>
          <w:rPr>
            <w:color w:val="0563C1"/>
            <w:u w:val="single"/>
          </w:rPr>
          <w:t>DTF - Victorian Infrastructure Pipeline</w:t>
        </w:r>
      </w:hyperlink>
    </w:p>
    <w:p>
      <w:pPr>
        <w:pStyle w:val="ListBullet"/>
      </w:pPr>
      <w:hyperlink r:id="rId19">
        <w:r>
          <w:rPr>
            <w:color w:val="0563C1"/>
            <w:u w:val="single"/>
          </w:rPr>
          <w:t>DTP - Urban Development Program 2025</w:t>
        </w:r>
      </w:hyperlink>
    </w:p>
    <w:p>
      <w:pPr>
        <w:pStyle w:val="ListBullet"/>
      </w:pPr>
      <w:hyperlink r:id="rId20">
        <w:r>
          <w:rPr>
            <w:color w:val="0563C1"/>
            <w:u w:val="single"/>
          </w:rPr>
          <w:t>Microsoft Learn - Azure SQL Database serverless</w:t>
        </w:r>
      </w:hyperlink>
    </w:p>
    <w:p>
      <w:pPr>
        <w:pStyle w:val="ListBullet"/>
      </w:pPr>
      <w:hyperlink r:id="rId21">
        <w:r>
          <w:rPr>
            <w:color w:val="0563C1"/>
            <w:u w:val="single"/>
          </w:rPr>
          <w:t>Microsoft Learn - Microsoft Entra authentication for Azure SQL</w:t>
        </w:r>
      </w:hyperlink>
    </w:p>
    <w:p>
      <w:pPr>
        <w:pStyle w:val="ListBullet"/>
      </w:pPr>
      <w:hyperlink r:id="rId22">
        <w:r>
          <w:rPr>
            <w:color w:val="0563C1"/>
            <w:u w:val="single"/>
          </w:rPr>
          <w:t>Microsoft Learn - GitHub Actions Azure OIDC</w:t>
        </w:r>
      </w:hyperlink>
    </w:p>
    <w:p>
      <w:pPr>
        <w:pStyle w:val="ListBullet"/>
      </w:pPr>
      <w:hyperlink r:id="rId23">
        <w:r>
          <w:rPr>
            <w:color w:val="0563C1"/>
            <w:u w:val="single"/>
          </w:rPr>
          <w:t>Microsoft Learn - Scheduled Azure Function</w:t>
        </w:r>
      </w:hyperlink>
    </w:p>
    <w:p>
      <w:pPr>
        <w:pStyle w:val="ListBullet"/>
      </w:pPr>
      <w:hyperlink r:id="rId24">
        <w:r>
          <w:rPr>
            <w:color w:val="0563C1"/>
            <w:u w:val="single"/>
          </w:rPr>
          <w:t>Microsoft Learn - Power BI data connectivity</w:t>
        </w:r>
      </w:hyperlink>
    </w:p>
    <w:p>
      <w:pPr>
        <w:pStyle w:val="ListBullet"/>
      </w:pPr>
      <w:hyperlink r:id="rId25">
        <w:r>
          <w:rPr>
            <w:color w:val="0563C1"/>
            <w:u w:val="single"/>
          </w:rPr>
          <w:t>Resend - Account quotas and limits</w:t>
        </w:r>
      </w:hyperlink>
    </w:p>
    <w:p>
      <w:pPr>
        <w:pStyle w:val="ListBullet"/>
      </w:pPr>
      <w:hyperlink r:id="rId26">
        <w:r>
          <w:rPr>
            <w:color w:val="0563C1"/>
            <w:u w:val="single"/>
          </w:rPr>
          <w:t>Resend - Managing domains</w:t>
        </w:r>
      </w:hyperlink>
    </w:p>
    <w:p>
      <w:pPr>
        <w:pStyle w:val="ListBullet"/>
      </w:pPr>
      <w:hyperlink r:id="rId27">
        <w:r>
          <w:rPr>
            <w:color w:val="0563C1"/>
            <w:u w:val="single"/>
          </w:rPr>
          <w:t>Resend - Send Email API and idempotency</w:t>
        </w:r>
      </w:hyperlink>
    </w:p>
    <w:p>
      <w:pPr>
        <w:pStyle w:val="SmallMeta"/>
      </w:pPr>
      <w:r>
        <w:t>All web sources accessed 5 September 2026. Dataset availability, licences, API limits, Azure pricing and service capabilities can change; verify them before deployment.</w:t>
      </w:r>
    </w:p>
    <w:sectPr w:rsidR="00FC693F" w:rsidRPr="0006063C" w:rsidSect="00034616">
      <w:footerReference w:type="default" r:id="rId28"/>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t xml:space="preserve">Victorian Home Investment Data Platform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jc w:val="left"/>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80"/>
    </w:pPr>
    <w:rPr>
      <w:rFonts w:ascii="Aptos" w:hAnsi="Aptos"/>
      <w:color w:val="5864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nd.vic.gov.au/valuations/resources-and-reports/property-sales-statistics" TargetMode="External"/><Relationship Id="rId10" Type="http://schemas.openxmlformats.org/officeDocument/2006/relationships/hyperlink" Target="https://discover.data.vic.gov.au/dataset/victorian-property-sales-report-yearly-summary" TargetMode="External"/><Relationship Id="rId11" Type="http://schemas.openxmlformats.org/officeDocument/2006/relationships/hyperlink" Target="https://discover.data.vic.gov.au/dataset/rental-report-quarterly-quarterly-median-rents-by-lga" TargetMode="External"/><Relationship Id="rId12" Type="http://schemas.openxmlformats.org/officeDocument/2006/relationships/hyperlink" Target="https://discover.data.vic.gov.au/dataset/vicmap-planning-api" TargetMode="External"/><Relationship Id="rId13" Type="http://schemas.openxmlformats.org/officeDocument/2006/relationships/hyperlink" Target="https://www.data.vic.gov.au/vicmap-service" TargetMode="External"/><Relationship Id="rId14" Type="http://schemas.openxmlformats.org/officeDocument/2006/relationships/hyperlink" Target="https://discover.data.vic.gov.au/dataset/gtfs-realtime" TargetMode="External"/><Relationship Id="rId15" Type="http://schemas.openxmlformats.org/officeDocument/2006/relationships/hyperlink" Target="https://www.abs.gov.au/statistics/application-programming-interfaces-apis/data-api-user-guide" TargetMode="External"/><Relationship Id="rId16" Type="http://schemas.openxmlformats.org/officeDocument/2006/relationships/hyperlink" Target="https://www.abs.gov.au/methodologies/building-approvals-australia-methodology/mar-2026" TargetMode="External"/><Relationship Id="rId17" Type="http://schemas.openxmlformats.org/officeDocument/2006/relationships/hyperlink" Target="https://www.planning.vic.gov.au/guides-and-resources/Data-spatial-and-insights/discover-and-access-planning-open-data/victoria-in-future/download-data/lga-and-vifsa-data" TargetMode="External"/><Relationship Id="rId18" Type="http://schemas.openxmlformats.org/officeDocument/2006/relationships/hyperlink" Target="https://www.dtf.vic.gov.au/victorian-infrastructure-pipeline" TargetMode="External"/><Relationship Id="rId19" Type="http://schemas.openxmlformats.org/officeDocument/2006/relationships/hyperlink" Target="https://www.planning.vic.gov.au/guides-and-resources/Data-spatial-and-insights/discover-and-access-planning-open-data/urban-development-program-2025/Urban-Development-Program-2025-Melbourne" TargetMode="External"/><Relationship Id="rId20" Type="http://schemas.openxmlformats.org/officeDocument/2006/relationships/hyperlink" Target="https://learn.microsoft.com/en-us/azure/azure-sql/database/serverless-tier-overview" TargetMode="External"/><Relationship Id="rId21" Type="http://schemas.openxmlformats.org/officeDocument/2006/relationships/hyperlink" Target="https://learn.microsoft.com/en-us/azure/azure-sql/database/authentication-aad-overview" TargetMode="External"/><Relationship Id="rId22" Type="http://schemas.openxmlformats.org/officeDocument/2006/relationships/hyperlink" Target="https://learn.microsoft.com/en-us/azure/developer/github/connect-from-azure-openid-connect" TargetMode="External"/><Relationship Id="rId23" Type="http://schemas.openxmlformats.org/officeDocument/2006/relationships/hyperlink" Target="https://learn.microsoft.com/en-us/azure/azure-functions/functions-create-scheduled-function" TargetMode="External"/><Relationship Id="rId24" Type="http://schemas.openxmlformats.org/officeDocument/2006/relationships/hyperlink" Target="https://learn.microsoft.com/en-us/power-bi/connect-data/service-tutorial-build-machine-learning-model" TargetMode="External"/><Relationship Id="rId25" Type="http://schemas.openxmlformats.org/officeDocument/2006/relationships/hyperlink" Target="https://resend.com/docs/knowledge-base/account-quotas-and-limits" TargetMode="External"/><Relationship Id="rId26" Type="http://schemas.openxmlformats.org/officeDocument/2006/relationships/hyperlink" Target="https://resend.com/docs/dashboard/domains/introduction" TargetMode="External"/><Relationship Id="rId27" Type="http://schemas.openxmlformats.org/officeDocument/2006/relationships/hyperlink" Target="https://resend.com/docs/api-reference/emails/send-email"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Home Investment Data Platform Blueprint</dc:title>
  <dc:subject>Azure data engineering and property investment analytics implementation plan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