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027B" w:rsidRPr="0010081C" w:rsidRDefault="0052761D" w:rsidP="006E264C">
      <w:pPr>
        <w:pStyle w:val="Heading1"/>
        <w:ind w:left="567" w:right="142"/>
        <w:rPr>
          <w:noProof/>
          <w:lang w:val="id-ID"/>
        </w:rPr>
      </w:pPr>
      <w:r w:rsidRPr="0010081C">
        <w:rPr>
          <w:noProof/>
          <w:lang w:val="id-ID"/>
        </w:rPr>
        <w:t>BAB 1. PENDAHULAN</w:t>
      </w:r>
    </w:p>
    <w:p w:rsidR="0052761D" w:rsidRPr="0010081C" w:rsidRDefault="0052761D" w:rsidP="006E264C">
      <w:pPr>
        <w:ind w:left="567" w:right="142"/>
        <w:rPr>
          <w:noProof/>
          <w:sz w:val="34"/>
          <w:szCs w:val="34"/>
          <w:lang w:val="id-ID"/>
        </w:rPr>
      </w:pPr>
    </w:p>
    <w:p w:rsidR="006000BF" w:rsidRPr="00CB24A8" w:rsidRDefault="0052761D" w:rsidP="00CB24A8">
      <w:pPr>
        <w:pStyle w:val="Heading2"/>
        <w:numPr>
          <w:ilvl w:val="1"/>
          <w:numId w:val="2"/>
        </w:numPr>
        <w:ind w:left="567" w:right="142"/>
        <w:rPr>
          <w:noProof/>
          <w:lang w:val="id-ID"/>
        </w:rPr>
      </w:pPr>
      <w:r w:rsidRPr="0010081C">
        <w:rPr>
          <w:noProof/>
          <w:lang w:val="id-ID"/>
        </w:rPr>
        <w:t>Latar Belakang</w:t>
      </w:r>
      <w:r w:rsidR="009B1FC7" w:rsidRPr="00CB24A8">
        <w:rPr>
          <w:noProof/>
          <w:lang w:val="en-ID"/>
        </w:rPr>
        <w:t xml:space="preserve"> </w:t>
      </w:r>
    </w:p>
    <w:p w:rsidR="00CB24A8" w:rsidRDefault="001661C2" w:rsidP="001D2405">
      <w:pPr>
        <w:ind w:left="147" w:right="142" w:firstLine="420"/>
        <w:jc w:val="both"/>
        <w:rPr>
          <w:noProof/>
          <w:lang w:val="id-ID"/>
        </w:rPr>
      </w:pPr>
      <w:r>
        <w:rPr>
          <w:noProof/>
          <w:lang w:val="en-ID"/>
        </w:rPr>
        <w:t>Indonesia akan menghadapi sebuah tanta</w:t>
      </w:r>
      <w:r w:rsidR="00FE5936">
        <w:rPr>
          <w:noProof/>
          <w:lang w:val="en-ID"/>
        </w:rPr>
        <w:t>ngan serius di sektor pertanian yang diakibatkan perubahan iklim yang serius</w:t>
      </w:r>
      <w:r>
        <w:rPr>
          <w:noProof/>
          <w:lang w:val="en-ID"/>
        </w:rPr>
        <w:t xml:space="preserve">. </w:t>
      </w:r>
      <w:r w:rsidR="00FE5936">
        <w:rPr>
          <w:noProof/>
          <w:lang w:val="en-ID"/>
        </w:rPr>
        <w:t>Untuk menghadapi permasalahan tersebut, penting bagi pemerintah dan petani untuk bekerja sama. Salah satu cara yang dapat dilakukan adalah memaksimalkan potensi pemuliaan tanaman. Pemuliaan tanaman merupakan suatu</w:t>
      </w:r>
      <w:r w:rsidR="00A9720C">
        <w:rPr>
          <w:noProof/>
          <w:lang w:val="en-ID"/>
        </w:rPr>
        <w:t xml:space="preserve"> </w:t>
      </w:r>
      <w:r w:rsidR="009F3DD0">
        <w:rPr>
          <w:noProof/>
          <w:lang w:val="en-ID"/>
        </w:rPr>
        <w:t>ilmu</w:t>
      </w:r>
      <w:r w:rsidR="00A9720C">
        <w:rPr>
          <w:noProof/>
          <w:lang w:val="en-ID"/>
        </w:rPr>
        <w:t xml:space="preserve"> yang </w:t>
      </w:r>
      <w:r w:rsidR="009F3DD0">
        <w:rPr>
          <w:noProof/>
          <w:lang w:val="en-ID"/>
        </w:rPr>
        <w:t xml:space="preserve">digunakan untuk meningkatkan sifat tanaman, baik dari segi kualitas maupun kuantitas tanaman, dengan tujuan utama untuk meningkatkan hasil produksi </w:t>
      </w:r>
      <w:r w:rsidR="009F3DD0">
        <w:rPr>
          <w:noProof/>
          <w:lang w:val="en-ID"/>
        </w:rPr>
        <w:fldChar w:fldCharType="begin"/>
      </w:r>
      <w:r w:rsidR="009F3DD0">
        <w:rPr>
          <w:noProof/>
          <w:lang w:val="en-ID"/>
        </w:rPr>
        <w:instrText xml:space="preserve"> ADDIN ZOTERO_ITEM CSL_CITATION {"citationID":"wylyUFzS","properties":{"formattedCitation":"(Putri dkk., 2024)","plainCitation":"(Putri dkk., 2024)","noteIndex":0},"citationItems":[{"id":40,"uris":["http://zotero.org/users/local/z1Fhum2z/items/MV4B5XQ6"],"itemData":{"id":40,"type":"article-journal","issue":"1","language":"id","source":"Zotero","title":"Pemuliaan Tanaman Bayam Lokal Timor dengan Metode Radiasi Multigamma Standar","volume":"4","author":[{"family":"Putri","given":"Ewilda Eriani"},{"family":"Pasangka","given":"Bertholomeus"},{"family":"Louk","given":"Andreas Ch"}],"issued":{"date-parts":[["2024"]]}}}],"schema":"https://github.com/citation-style-language/schema/raw/master/csl-citation.json"} </w:instrText>
      </w:r>
      <w:r w:rsidR="009F3DD0">
        <w:rPr>
          <w:noProof/>
          <w:lang w:val="en-ID"/>
        </w:rPr>
        <w:fldChar w:fldCharType="separate"/>
      </w:r>
      <w:r w:rsidR="009F3DD0" w:rsidRPr="009F3DD0">
        <w:rPr>
          <w:rFonts w:cs="Times New Roman"/>
        </w:rPr>
        <w:t>(Putri dkk., 2024)</w:t>
      </w:r>
      <w:r w:rsidR="009F3DD0">
        <w:rPr>
          <w:noProof/>
          <w:lang w:val="en-ID"/>
        </w:rPr>
        <w:fldChar w:fldCharType="end"/>
      </w:r>
      <w:r w:rsidR="009F3DD0">
        <w:rPr>
          <w:noProof/>
          <w:lang w:val="en-ID"/>
        </w:rPr>
        <w:t>. Menurut Damayanti dkk. (2021), terdapat beberapa teknik pemuliaan tanaman yang umum digunakan yakni, mutasi genetik, induksi, hibridasi, dan introduksi gen</w:t>
      </w:r>
      <w:r w:rsidR="00CB24A8">
        <w:rPr>
          <w:noProof/>
          <w:lang w:val="en-ID"/>
        </w:rPr>
        <w:t>. Salah satu metode pe</w:t>
      </w:r>
      <w:r w:rsidR="00044511">
        <w:rPr>
          <w:noProof/>
          <w:lang w:val="en-ID"/>
        </w:rPr>
        <w:t>muliaan tanaman</w:t>
      </w:r>
      <w:r w:rsidR="00CB24A8">
        <w:rPr>
          <w:noProof/>
          <w:lang w:val="en-ID"/>
        </w:rPr>
        <w:t xml:space="preserve"> yang umum diterapkan untuk mendapatkan suatu varietas unggul </w:t>
      </w:r>
      <w:r w:rsidR="005A605D">
        <w:rPr>
          <w:noProof/>
          <w:lang w:val="en-ID"/>
        </w:rPr>
        <w:t>adalah m</w:t>
      </w:r>
      <w:r w:rsidR="00044511">
        <w:rPr>
          <w:noProof/>
          <w:lang w:val="en-ID"/>
        </w:rPr>
        <w:t>utasi genetik</w:t>
      </w:r>
      <w:r w:rsidR="009F3DD0">
        <w:rPr>
          <w:noProof/>
          <w:lang w:val="en-ID"/>
        </w:rPr>
        <w:t>.</w:t>
      </w:r>
      <w:r w:rsidR="005A605D">
        <w:rPr>
          <w:noProof/>
          <w:lang w:val="en-ID"/>
        </w:rPr>
        <w:t xml:space="preserve"> Mengutip dari Arta Dana dkk., (2021), pada sektor pemuliaan tanaman, teknik ini bukanlah teknik yang baru dan sudah lazim digunakan sejak lama.</w:t>
      </w:r>
      <w:r w:rsidR="009F3DD0" w:rsidRPr="0010081C">
        <w:rPr>
          <w:noProof/>
          <w:lang w:val="id-ID"/>
        </w:rPr>
        <w:t xml:space="preserve"> </w:t>
      </w:r>
    </w:p>
    <w:p w:rsidR="00CF32C1" w:rsidRDefault="005A605D" w:rsidP="00CF32C1">
      <w:pPr>
        <w:ind w:left="147" w:right="142" w:firstLine="420"/>
        <w:jc w:val="both"/>
        <w:rPr>
          <w:noProof/>
          <w:lang w:val="en-ID"/>
        </w:rPr>
      </w:pPr>
      <w:r>
        <w:rPr>
          <w:noProof/>
          <w:lang w:val="en-ID"/>
        </w:rPr>
        <w:t xml:space="preserve">Mutasi genetik atau mutagenesis merupakan suatu </w:t>
      </w:r>
      <w:r w:rsidR="00CF32C1">
        <w:rPr>
          <w:noProof/>
          <w:lang w:val="en-ID"/>
        </w:rPr>
        <w:t xml:space="preserve">proses ilmiah dalam perubahan permanen pada DNA tanaman, baik secara buatan maupun alami, yang bertujuan untuk menghasilkan suatu variasi genetik baru pada sifat tanaman tersebut. Terdapat dua jenis mutagenesis, yang terjadi secara alami dan juga secara buatan seperti induksi menggunakan senyama kimia, radiasi, ataupun unsur biologis lainnya </w:t>
      </w:r>
      <w:r w:rsidR="00CF32C1">
        <w:rPr>
          <w:noProof/>
          <w:lang w:val="en-ID"/>
        </w:rPr>
        <w:fldChar w:fldCharType="begin"/>
      </w:r>
      <w:r w:rsidR="00CF32C1">
        <w:rPr>
          <w:noProof/>
          <w:lang w:val="en-ID"/>
        </w:rPr>
        <w:instrText xml:space="preserve"> ADDIN ZOTERO_ITEM CSL_CITATION {"citationID":"88B0OY2l","properties":{"formattedCitation":"(Reddy &amp; Pinjari, 2023)","plainCitation":"(Reddy &amp; Pinjari, 2023)","noteIndex":0},"citationItems":[{"id":53,"uris":["http://zotero.org/users/local/z1Fhum2z/items/TA7H78DE"],"itemData":{"id":53,"type":"article-journal","abstract":"Mutagenesis refers to the process of generation of mutations in DNA molecules, including chromosomal rearrangements and alterations in DNA sequence. The incidence of natural or spontaneous mutation frequency in nature is very low, and it is not sufficient for plant breeding programs to develop new varieties. Mutants were also used for gene function discovery which controls the particular phenotype. Genetic diversity was induced in plants on a good scale through induced mutagenesis programmes, and this helped to improve crops all over the world. Significant efforts have been made to develop induced mutagenized resources using physical (Fast-neutron, X-ray, and -irradiation), chemical (DEB, EMS, and MNU), and biological (T-DNA and Transposons) agents. However, mutants developed through biological agents or genetically modified organisms (GMO) face severe regulatory limitations imposed by national and international agencies to release as varieties. The most popular chemical and physical mutagenesis techniques used by breeders are EMS and gamma rays mutagens. Estimating the appropriate mutagen dose and mutagen exposure time are essential factors to develop mutagenized resources. The dosage and duration of a mutagenic treatment are determined by the species, physiological state of the species, and material handling prior to and after the mutagenic treatment. Neutrons and X-rays are powerful mutagens that cause significant chromosomal damage and have been used to create large chromosomal deletions.","container-title":"Asian Journal of Agriculture and Allied Sciences","DOI":"10.56557/ajaas/2023/v6i135","issue":"1","journalAbbreviation":"AJAAS","language":"en","note":"publisher: IK Press","page":"20-29","source":"Crossref","title":"Mutagenesis Approaches in Plants and their Applications","volume":"6","author":[{"family":"Reddy","given":"M. Sridhar"},{"family":"Pinjari","given":"Osman Basha"}],"issued":{"date-parts":[["2023",3,11]]}}}],"schema":"https://github.com/citation-style-language/schema/raw/master/csl-citation.json"} </w:instrText>
      </w:r>
      <w:r w:rsidR="00CF32C1">
        <w:rPr>
          <w:noProof/>
          <w:lang w:val="en-ID"/>
        </w:rPr>
        <w:fldChar w:fldCharType="separate"/>
      </w:r>
      <w:r w:rsidR="00CF32C1" w:rsidRPr="00CF32C1">
        <w:rPr>
          <w:rFonts w:cs="Times New Roman"/>
        </w:rPr>
        <w:t xml:space="preserve">(Reddy &amp; </w:t>
      </w:r>
      <w:proofErr w:type="spellStart"/>
      <w:r w:rsidR="00CF32C1" w:rsidRPr="00CF32C1">
        <w:rPr>
          <w:rFonts w:cs="Times New Roman"/>
        </w:rPr>
        <w:t>Pinjari</w:t>
      </w:r>
      <w:proofErr w:type="spellEnd"/>
      <w:r w:rsidR="00CF32C1" w:rsidRPr="00CF32C1">
        <w:rPr>
          <w:rFonts w:cs="Times New Roman"/>
        </w:rPr>
        <w:t>, 2023)</w:t>
      </w:r>
      <w:r w:rsidR="00CF32C1">
        <w:rPr>
          <w:noProof/>
          <w:lang w:val="en-ID"/>
        </w:rPr>
        <w:fldChar w:fldCharType="end"/>
      </w:r>
      <w:r w:rsidR="00CF32C1">
        <w:rPr>
          <w:noProof/>
          <w:lang w:val="en-ID"/>
        </w:rPr>
        <w:t xml:space="preserve">. </w:t>
      </w:r>
      <w:r w:rsidR="009F3DD0">
        <w:rPr>
          <w:noProof/>
          <w:lang w:val="en-ID"/>
        </w:rPr>
        <w:t>Salah satu metode yang</w:t>
      </w:r>
      <w:r>
        <w:rPr>
          <w:noProof/>
          <w:lang w:val="en-ID"/>
        </w:rPr>
        <w:t xml:space="preserve"> umum digunakan pada mutasi genetik</w:t>
      </w:r>
      <w:r w:rsidR="009F3DD0">
        <w:rPr>
          <w:noProof/>
          <w:lang w:val="en-ID"/>
        </w:rPr>
        <w:t xml:space="preserve"> benih tanaman adalah </w:t>
      </w:r>
      <w:r>
        <w:rPr>
          <w:noProof/>
          <w:lang w:val="en-ID"/>
        </w:rPr>
        <w:t>dengan</w:t>
      </w:r>
      <w:r w:rsidR="009F3DD0">
        <w:rPr>
          <w:noProof/>
          <w:lang w:val="en-ID"/>
        </w:rPr>
        <w:t xml:space="preserve"> menggunakan </w:t>
      </w:r>
      <w:r w:rsidR="009F3DD0">
        <w:rPr>
          <w:i/>
          <w:noProof/>
          <w:lang w:val="en-ID"/>
        </w:rPr>
        <w:t>Ethyl Methane S</w:t>
      </w:r>
      <w:r w:rsidR="009F3DD0" w:rsidRPr="0010081C">
        <w:rPr>
          <w:i/>
          <w:noProof/>
          <w:lang w:val="en-ID"/>
        </w:rPr>
        <w:t>ulfonate</w:t>
      </w:r>
      <w:r w:rsidR="009F3DD0">
        <w:rPr>
          <w:noProof/>
          <w:lang w:val="en-ID"/>
        </w:rPr>
        <w:t xml:space="preserve"> (EMS). </w:t>
      </w:r>
    </w:p>
    <w:p w:rsidR="001661C2" w:rsidRDefault="009F3DD0" w:rsidP="00CF32C1">
      <w:pPr>
        <w:ind w:left="147" w:right="142" w:firstLine="420"/>
        <w:jc w:val="both"/>
        <w:rPr>
          <w:noProof/>
          <w:lang w:val="en-ID"/>
        </w:rPr>
      </w:pPr>
      <w:r>
        <w:rPr>
          <w:noProof/>
          <w:lang w:val="en-ID"/>
        </w:rPr>
        <w:t xml:space="preserve">EMS merupakan salah satu agen alkilasi yang paling umum digunakan pada penelitian mutagenetik benih tanaman. Mutagenesis EMS dapat menciptakan dua perubahan yakni perubahan basa dan mutasi nukleotida yang dihasilkan dari pengenalan gugus aktil aktif pada nukleotida yang telah diinduksi oleh modifikasi kimia </w:t>
      </w:r>
      <w:r>
        <w:rPr>
          <w:noProof/>
          <w:lang w:val="en-ID"/>
        </w:rPr>
        <w:softHyphen/>
      </w:r>
      <w:r>
        <w:rPr>
          <w:noProof/>
          <w:lang w:val="en-ID"/>
        </w:rPr>
        <w:fldChar w:fldCharType="begin"/>
      </w:r>
      <w:r w:rsidR="00CB24A8">
        <w:rPr>
          <w:noProof/>
          <w:lang w:val="en-ID"/>
        </w:rPr>
        <w:instrText xml:space="preserve"> ADDIN ZOTERO_ITEM CSL_CITATION {"citationID":"HT4qMKxa","properties":{"formattedCitation":"(Chen dkk., 2023)","plainCitation":"(Chen dkk., 2023)","noteIndex":0},"citationItems":[{"id":3,"uris":["http://zotero.org/users/local/z1Fhum2z/items/IIXCL8QE"],"itemData":{"id":3,"type":"article-journal","abstract":"Ethyl methanesulfonate (EMS)-induced mutagenesis is a powerful tool to generate genetic resource for identifying untapped genes and characterizing the function of genes to understand the molecular basis of important agronomic traits. This review focuses on application of contemporary EMS mutagenesis in the field of plant development and abiotic stress tolerance research, with particular focuses on reviewing the mutation types, mutagenesis site, mutagen concentration, mutagenesis duration, the identification and characterization of mutations responsible for altered stress tolerance responses. The application of EMS mutation breeding combined with genetic engineering in the future plant breeding and fundamental research was also discussed. The collective information in this review will provide good insight on how EMS mutagenesis is efficiently applied to improve abiotic stress tolerance of crops with the utilization of Next-generation sequencing (NGS) for mutation identification.","container-title":"Frontiers in Plant Science","DOI":"10.3389/fpls.2022.1052569","ISSN":"1664-462X","journalAbbreviation":"Front. Plant Sci.","language":"en","page":"1052569","source":"DOI.org (Crossref)","title":"Current trends and insights on EMS mutagenesis application to studies on plant abiotic stress tolerance and development","volume":"13","author":[{"family":"Chen","given":"Liuzhu"},{"family":"Duan","given":"Liu"},{"family":"Sun","given":"Minghui"},{"family":"Yang","given":"Zhuo"},{"family":"Li","given":"Hongyu"},{"family":"Hu","given":"Keming"},{"family":"Yang","given":"Hong"},{"family":"Liu","given":"Li"}],"issued":{"date-parts":[["2023",1,4]]}}}],"schema":"https://github.com/citation-style-language/schema/raw/master/csl-citation.json"} </w:instrText>
      </w:r>
      <w:r>
        <w:rPr>
          <w:noProof/>
          <w:lang w:val="en-ID"/>
        </w:rPr>
        <w:fldChar w:fldCharType="separate"/>
      </w:r>
      <w:r w:rsidRPr="00396F53">
        <w:rPr>
          <w:rFonts w:cs="Times New Roman"/>
        </w:rPr>
        <w:t>(Chen dkk., 2023)</w:t>
      </w:r>
      <w:r>
        <w:rPr>
          <w:noProof/>
          <w:lang w:val="en-ID"/>
        </w:rPr>
        <w:fldChar w:fldCharType="end"/>
      </w:r>
      <w:r>
        <w:rPr>
          <w:noProof/>
          <w:lang w:val="en-ID"/>
        </w:rPr>
        <w:t>.</w:t>
      </w:r>
      <w:r w:rsidR="00CB24A8">
        <w:rPr>
          <w:noProof/>
          <w:lang w:val="en-ID"/>
        </w:rPr>
        <w:t xml:space="preserve"> Mutagenesis benih dengan menggunakan EMS adalah cara yang termasuk paling umum digunakan, hal itu didasarkan oleh beberapa alasan seperti tidak bersifat mutagenik setelah dilakukannya hidrolisis dan juga memiliki laju mutasinya cukup tinggi serta mudah didapatkan </w:t>
      </w:r>
      <w:r w:rsidR="00CB24A8">
        <w:rPr>
          <w:noProof/>
          <w:lang w:val="en-ID"/>
        </w:rPr>
        <w:fldChar w:fldCharType="begin"/>
      </w:r>
      <w:r w:rsidR="00CB24A8">
        <w:rPr>
          <w:noProof/>
          <w:lang w:val="en-ID"/>
        </w:rPr>
        <w:instrText xml:space="preserve"> ADDIN ZOTERO_ITEM CSL_CITATION {"citationID":"GZrN7qCD","properties":{"formattedCitation":"(Lestari, 2021)","plainCitation":"(Lestari, 2021)","noteIndex":0},"citationItems":[{"id":29,"uris":["http://zotero.org/users/local/z1Fhum2z/items/WJVUIJM4"],"itemData":{"id":29,"type":"article-journal","abstract":"The breeding of ornamental plants through mutation induction has been applied to obtain the desired new characters. High diversity, such as brighter colors, more attractive shapes, and aromas, are needed for the assembly of new high yielding varieties to increase sales value. Mutagens that can be used as agents for mutation induction are physical mutagens (gamma rays, x rays, beta rays, UV rays) and chemical mutagens (EMS, DES, colchicine, oryzalin). The mutagens have been implemented to obtain a superior character compared to its parents. Breeding of ornamental plants through mutation has been applied in various countries such as Japan, Thailand, Korea, the Netherlands, and Indonesia to produce many new varieties, comprising of chrysanthemums, roses, gladiolus, tulips, carnations etc. The resulting new characteristics include a change in color to become more attractive according to market tastes, the shape and petals of a single flower that were originally single, become stacked, and not easily wither. The purpose of writing this review is to provide information about the role of mutations for the formation of new varieties in ornamental plants as well as mutagens that able to be utilized both physically and chemically.","language":"id","source":"Zotero","title":"APLIKASI INDUKSI MUTASI UNTUK PEMULIAAN TANAMAN HIAS","author":[{"family":"Lestari","given":"Endang Gati"}],"issued":{"date-parts":[["2021"]]}}}],"schema":"https://github.com/citation-style-language/schema/raw/master/csl-citation.json"} </w:instrText>
      </w:r>
      <w:r w:rsidR="00CB24A8">
        <w:rPr>
          <w:noProof/>
          <w:lang w:val="en-ID"/>
        </w:rPr>
        <w:fldChar w:fldCharType="separate"/>
      </w:r>
      <w:r w:rsidR="00CB24A8" w:rsidRPr="00CB24A8">
        <w:rPr>
          <w:rFonts w:cs="Times New Roman"/>
        </w:rPr>
        <w:t>(Lestari, 2021)</w:t>
      </w:r>
      <w:r w:rsidR="00CB24A8">
        <w:rPr>
          <w:noProof/>
          <w:lang w:val="en-ID"/>
        </w:rPr>
        <w:fldChar w:fldCharType="end"/>
      </w:r>
      <w:r w:rsidR="00CB24A8">
        <w:rPr>
          <w:noProof/>
          <w:lang w:val="en-ID"/>
        </w:rPr>
        <w:t>.</w:t>
      </w:r>
    </w:p>
    <w:p w:rsidR="00CB24A8" w:rsidRDefault="00EE4CA4" w:rsidP="00EE4CA4">
      <w:pPr>
        <w:ind w:left="147" w:right="142" w:firstLine="420"/>
        <w:jc w:val="both"/>
        <w:rPr>
          <w:noProof/>
          <w:lang w:val="en-ID"/>
        </w:rPr>
      </w:pPr>
      <w:r>
        <w:rPr>
          <w:noProof/>
          <w:lang w:val="en-ID"/>
        </w:rPr>
        <w:t xml:space="preserve">Melihat secara historis, mutagenesis secara acak termasuk salah satunya dengan menggunakan EMS telah memberikan kontribusi signifikan pada riset bioteknologi. Ribuan varietas baru telah dihasilkan dari upaya pemuliaan tanaman dengan menggunakan mutagenesis secara kimia. Mengutip dari </w:t>
      </w:r>
      <w:r>
        <w:rPr>
          <w:noProof/>
          <w:lang w:val="en-ID"/>
        </w:rPr>
        <w:fldChar w:fldCharType="begin"/>
      </w:r>
      <w:r>
        <w:rPr>
          <w:noProof/>
          <w:lang w:val="en-ID"/>
        </w:rPr>
        <w:instrText xml:space="preserve"> ADDIN ZOTERO_ITEM CSL_CITATION {"citationID":"u3qF1fcx","properties":{"formattedCitation":"(EFSA Panel\\uc0\\u160{}on Genetically Modified Organisms (GMO) dkk., 2021)","plainCitation":"(EFSA Panel on Genetically Modified Organisms (GMO) dkk., 2021)","noteIndex":0},"citationItems":[{"id":5,"uris":["http://zotero.org/users/local/z1Fhum2z/items/CDVS9UZT"],"itemData":{"id":5,"type":"article-journal","abstract":"Mutations are changes in the genetic material that may be transmitted to subsequent generations. Mutations appear spontaneously in nature and are one of the underlying driving forces of evolution. In plants, in vivo and in vitro random mutagenesis relies on the application of physical and chemical mutagens to increase the frequency of mutations thus accelerating the selection of varieties with important agronomic traits. The European Commission has requested EFSA to provide a more detailed description of in vivo and in vitro random mutagenesis techniques and the types of mutations and mechanisms involved, to be able to conclude on whether in vivo and in vitro random mutagenesis techniques are to be considered different techniques. To address the European Commission request, a literature search was conducted to collect information on the random mutagenesis techniques used in plants both in vivo and in vitro, on the type of mutations generated by such techniques and on the molecular mechanisms underlying formation of those mutations. The GMO Panel concludes that most physical and chemical mutagenesis techniques have been applied both in vivo and in vitro; the mutation process and the repair mechanisms act at cellular level and thus there is no difference between application of the mutagen in vivo or in vitro; and the type of mutations induced by a speciﬁc mutagen are expected to be the same, regardless of whether such mutagen is applied in vivo or in vitro. Indeed, the same mutation and the derived trait in a given plant species can be potentially obtained using both in vivo and in vitro random mutagenesis and the resulting mutants would be indistinguishable. Therefore, the GMO Panel concludes that the distinction between plants obtained by in vitro or in vivo approaches is not justiﬁed.","container-title":"EFSA Journal","DOI":"10.2903/j.efsa.2021.6611","ISSN":"18314732, 18314732","issue":"11","journalAbbreviation":"EFS2","language":"en","source":"DOI.org (CSL JSON)","title":"In vivo and in vitro random mutagenesis techniques in plants","URL":"https://data.europa.eu/doi/10.2903/j.efsa.2021.6611","volume":"19","author":[{"literal":"EFSA Panel on Genetically Modified Organisms (GMO)"},{"family":"Mullins","given":"Ewen"},{"family":"Bresson","given":"Jean‐Louis"},{"family":"Dalmay","given":"Tamas"},{"family":"Dewhurst","given":"Ian Crawford"},{"family":"Epstein","given":"Michelle M"},{"family":"Firbank","given":"Leslie George"},{"family":"Guerche","given":"Philippe"},{"family":"Hejatko","given":"Jan"},{"family":"Moreno","given":"Francisco Javier"},{"family":"Naegeli","given":"Hanspeter"},{"family":"Nogué","given":"Fabien"},{"family":"Sánchez Serrano","given":"Jose Juan"},{"family":"Savoini","given":"Giovanni"},{"family":"Veromann","given":"Eve"},{"family":"Veronesi","given":"Fabio"},{"family":"Casacuberta","given":"Josep"},{"family":"Lenzi","given":"Paolo"},{"family":"Munoz Guajardo","given":"Irene"},{"family":"Raffaello","given":"Tommaso"},{"family":"Rostoks","given":"Nils"}],"accessed":{"date-parts":[["2025",4,26]]},"issued":{"date-parts":[["2021",11]]}}}],"schema":"https://github.com/citation-style-language/schema/raw/master/csl-citation.json"} </w:instrText>
      </w:r>
      <w:r>
        <w:rPr>
          <w:noProof/>
          <w:lang w:val="en-ID"/>
        </w:rPr>
        <w:fldChar w:fldCharType="separate"/>
      </w:r>
      <w:r w:rsidRPr="00EE4CA4">
        <w:rPr>
          <w:rFonts w:cs="Times New Roman"/>
          <w:szCs w:val="24"/>
        </w:rPr>
        <w:t xml:space="preserve">(EFSA Panel on Genetically Modified Organisms (GMO) </w:t>
      </w:r>
      <w:proofErr w:type="spellStart"/>
      <w:r w:rsidRPr="00EE4CA4">
        <w:rPr>
          <w:rFonts w:cs="Times New Roman"/>
          <w:szCs w:val="24"/>
        </w:rPr>
        <w:t>dkk</w:t>
      </w:r>
      <w:proofErr w:type="spellEnd"/>
      <w:r w:rsidRPr="00EE4CA4">
        <w:rPr>
          <w:rFonts w:cs="Times New Roman"/>
          <w:szCs w:val="24"/>
        </w:rPr>
        <w:t>., 2021)</w:t>
      </w:r>
      <w:r>
        <w:rPr>
          <w:noProof/>
          <w:lang w:val="en-ID"/>
        </w:rPr>
        <w:fldChar w:fldCharType="end"/>
      </w:r>
      <w:r>
        <w:rPr>
          <w:noProof/>
          <w:lang w:val="en-ID"/>
        </w:rPr>
        <w:t>, sekitar 3200 varietas di lebih dari 210 spesies tanaman telah tercatat secara resmi yang berhasil dihasilkan dari pemuliaan tanaman dengan menggunakan teknik mutagenis kimia. Mayoritas</w:t>
      </w:r>
      <w:r w:rsidR="0026526B">
        <w:rPr>
          <w:noProof/>
          <w:lang w:val="en-ID"/>
        </w:rPr>
        <w:t xml:space="preserve"> spesies</w:t>
      </w:r>
      <w:r>
        <w:rPr>
          <w:noProof/>
          <w:lang w:val="en-ID"/>
        </w:rPr>
        <w:t xml:space="preserve"> hasil dari mutagenesis</w:t>
      </w:r>
      <w:r w:rsidR="0026526B">
        <w:rPr>
          <w:noProof/>
          <w:lang w:val="en-ID"/>
        </w:rPr>
        <w:t xml:space="preserve"> ini merupakan jenis tanaman pangan yang memiliki nilai ekonomi seperti, jagung, krisan, padi, barley, gandum, dan kedelai </w:t>
      </w:r>
      <w:r w:rsidR="0026526B">
        <w:rPr>
          <w:noProof/>
          <w:lang w:val="en-ID"/>
        </w:rPr>
        <w:fldChar w:fldCharType="begin"/>
      </w:r>
      <w:r w:rsidR="0026526B">
        <w:rPr>
          <w:noProof/>
          <w:lang w:val="en-ID"/>
        </w:rPr>
        <w:instrText xml:space="preserve"> ADDIN ZOTERO_ITEM CSL_CITATION {"citationID":"AMaRIu1Z","properties":{"formattedCitation":"(EFSA Panel\\uc0\\u160{}on Genetically Modified Organisms (GMO) dkk., 2021)","plainCitation":"(EFSA Panel on Genetically Modified Organisms (GMO) dkk., 2021)","noteIndex":0},"citationItems":[{"id":5,"uris":["http://zotero.org/users/local/z1Fhum2z/items/CDVS9UZT"],"itemData":{"id":5,"type":"article-journal","abstract":"Mutations are changes in the genetic material that may be transmitted to subsequent generations. Mutations appear spontaneously in nature and are one of the underlying driving forces of evolution. In plants, in vivo and in vitro random mutagenesis relies on the application of physical and chemical mutagens to increase the frequency of mutations thus accelerating the selection of varieties with important agronomic traits. The European Commission has requested EFSA to provide a more detailed description of in vivo and in vitro random mutagenesis techniques and the types of mutations and mechanisms involved, to be able to conclude on whether in vivo and in vitro random mutagenesis techniques are to be considered different techniques. To address the European Commission request, a literature search was conducted to collect information on the random mutagenesis techniques used in plants both in vivo and in vitro, on the type of mutations generated by such techniques and on the molecular mechanisms underlying formation of those mutations. The GMO Panel concludes that most physical and chemical mutagenesis techniques have been applied both in vivo and in vitro; the mutation process and the repair mechanisms act at cellular level and thus there is no difference between application of the mutagen in vivo or in vitro; and the type of mutations induced by a speciﬁc mutagen are expected to be the same, regardless of whether such mutagen is applied in vivo or in vitro. Indeed, the same mutation and the derived trait in a given plant species can be potentially obtained using both in vivo and in vitro random mutagenesis and the resulting mutants would be indistinguishable. Therefore, the GMO Panel concludes that the distinction between plants obtained by in vitro or in vivo approaches is not justiﬁed.","container-title":"EFSA Journal","DOI":"10.2903/j.efsa.2021.6611","ISSN":"18314732, 18314732","issue":"11","journalAbbreviation":"EFS2","language":"en","source":"DOI.org (CSL JSON)","title":"In vivo and in vitro random mutagenesis techniques in plants","URL":"https://data.europa.eu/doi/10.2903/j.efsa.2021.6611","volume":"19","author":[{"literal":"EFSA Panel on Genetically Modified Organisms (GMO)"},{"family":"Mullins","given":"Ewen"},{"family":"Bresson","given":"Jean‐Louis"},{"family":"Dalmay","given":"Tamas"},{"family":"Dewhurst","given":"Ian Crawford"},{"family":"Epstein","given":"Michelle M"},{"family":"Firbank","given":"Leslie George"},{"family":"Guerche","given":"Philippe"},{"family":"Hejatko","given":"Jan"},{"family":"Moreno","given":"Francisco Javier"},{"family":"Naegeli","given":"Hanspeter"},{"family":"Nogué","given":"Fabien"},{"family":"Sánchez Serrano","given":"Jose Juan"},{"family":"Savoini","given":"Giovanni"},{"family":"Veromann","given":"Eve"},{"family":"Veronesi","given":"Fabio"},{"family":"Casacuberta","given":"Josep"},{"family":"Lenzi","given":"Paolo"},{"family":"Munoz Guajardo","given":"Irene"},{"family":"Raffaello","given":"Tommaso"},{"family":"Rostoks","given":"Nils"}],"accessed":{"date-parts":[["2025",4,26]]},"issued":{"date-parts":[["2021",11]]}}}],"schema":"https://github.com/citation-style-language/schema/raw/master/csl-citation.json"} </w:instrText>
      </w:r>
      <w:r w:rsidR="0026526B">
        <w:rPr>
          <w:noProof/>
          <w:lang w:val="en-ID"/>
        </w:rPr>
        <w:fldChar w:fldCharType="separate"/>
      </w:r>
      <w:r w:rsidR="0026526B" w:rsidRPr="0026526B">
        <w:rPr>
          <w:rFonts w:cs="Times New Roman"/>
          <w:szCs w:val="24"/>
        </w:rPr>
        <w:t xml:space="preserve">(EFSA Panel on Genetically Modified Organisms (GMO) </w:t>
      </w:r>
      <w:proofErr w:type="spellStart"/>
      <w:r w:rsidR="0026526B" w:rsidRPr="0026526B">
        <w:rPr>
          <w:rFonts w:cs="Times New Roman"/>
          <w:szCs w:val="24"/>
        </w:rPr>
        <w:t>dkk</w:t>
      </w:r>
      <w:proofErr w:type="spellEnd"/>
      <w:r w:rsidR="0026526B" w:rsidRPr="0026526B">
        <w:rPr>
          <w:rFonts w:cs="Times New Roman"/>
          <w:szCs w:val="24"/>
        </w:rPr>
        <w:t>., 2021)</w:t>
      </w:r>
      <w:r w:rsidR="0026526B">
        <w:rPr>
          <w:noProof/>
          <w:lang w:val="en-ID"/>
        </w:rPr>
        <w:fldChar w:fldCharType="end"/>
      </w:r>
      <w:r w:rsidR="0026526B">
        <w:rPr>
          <w:noProof/>
          <w:lang w:val="en-ID"/>
        </w:rPr>
        <w:t>. Melihat dari tren mengenai pemuliaan tanaman dengan teknik mutagenesis menyebabkan banyaknya artikel ataupun jurnal ilmiah yang telah dipublikasi.</w:t>
      </w:r>
    </w:p>
    <w:p w:rsidR="0026526B" w:rsidRPr="00B43E8B" w:rsidRDefault="0026526B" w:rsidP="00EE4CA4">
      <w:pPr>
        <w:ind w:left="147" w:right="142" w:firstLine="420"/>
        <w:jc w:val="both"/>
        <w:rPr>
          <w:noProof/>
          <w:lang w:val="en-ID"/>
        </w:rPr>
      </w:pPr>
      <w:bookmarkStart w:id="0" w:name="_GoBack"/>
      <w:bookmarkEnd w:id="0"/>
    </w:p>
    <w:p w:rsidR="0052761D" w:rsidRPr="0010081C" w:rsidRDefault="0052761D" w:rsidP="006E264C">
      <w:pPr>
        <w:pStyle w:val="Heading2"/>
        <w:numPr>
          <w:ilvl w:val="1"/>
          <w:numId w:val="2"/>
        </w:numPr>
        <w:ind w:left="567" w:right="142"/>
        <w:rPr>
          <w:noProof/>
          <w:lang w:val="id-ID"/>
        </w:rPr>
      </w:pPr>
      <w:r w:rsidRPr="0010081C">
        <w:rPr>
          <w:noProof/>
          <w:lang w:val="id-ID"/>
        </w:rPr>
        <w:lastRenderedPageBreak/>
        <w:t>Rumusan Masalah</w:t>
      </w:r>
    </w:p>
    <w:p w:rsidR="0052761D" w:rsidRPr="0010081C" w:rsidRDefault="0052761D" w:rsidP="006E264C">
      <w:pPr>
        <w:pStyle w:val="Heading2"/>
        <w:numPr>
          <w:ilvl w:val="1"/>
          <w:numId w:val="2"/>
        </w:numPr>
        <w:ind w:left="567" w:right="142"/>
        <w:rPr>
          <w:noProof/>
          <w:lang w:val="id-ID"/>
        </w:rPr>
      </w:pPr>
      <w:r w:rsidRPr="0010081C">
        <w:rPr>
          <w:noProof/>
          <w:lang w:val="id-ID"/>
        </w:rPr>
        <w:t>Tujuan Penelitian</w:t>
      </w:r>
    </w:p>
    <w:p w:rsidR="0052761D" w:rsidRPr="0010081C" w:rsidRDefault="0052761D" w:rsidP="006E264C">
      <w:pPr>
        <w:pStyle w:val="Heading2"/>
        <w:numPr>
          <w:ilvl w:val="1"/>
          <w:numId w:val="2"/>
        </w:numPr>
        <w:ind w:left="567" w:right="142"/>
        <w:rPr>
          <w:noProof/>
          <w:lang w:val="id-ID"/>
        </w:rPr>
      </w:pPr>
      <w:r w:rsidRPr="0010081C">
        <w:rPr>
          <w:noProof/>
          <w:lang w:val="id-ID"/>
        </w:rPr>
        <w:t>Manfaat Penelitian</w:t>
      </w:r>
    </w:p>
    <w:p w:rsidR="0052761D" w:rsidRPr="0010081C" w:rsidRDefault="0052761D" w:rsidP="006E264C">
      <w:pPr>
        <w:pStyle w:val="Heading2"/>
        <w:spacing w:before="0"/>
        <w:ind w:left="147"/>
        <w:rPr>
          <w:noProof/>
          <w:lang w:val="id-ID"/>
        </w:rPr>
      </w:pPr>
      <w:r w:rsidRPr="0010081C">
        <w:rPr>
          <w:noProof/>
          <w:lang w:val="id-ID"/>
        </w:rPr>
        <w:t>1.5 Batasan Penelitian</w:t>
      </w:r>
    </w:p>
    <w:p w:rsidR="00977FCF" w:rsidRDefault="00977FCF" w:rsidP="006E264C">
      <w:pPr>
        <w:ind w:left="567" w:right="142"/>
        <w:jc w:val="both"/>
        <w:rPr>
          <w:rFonts w:cs="Times New Roman"/>
          <w:b/>
          <w:noProof/>
          <w:sz w:val="34"/>
          <w:szCs w:val="34"/>
          <w:lang w:val="id-ID"/>
        </w:rPr>
      </w:pPr>
    </w:p>
    <w:p w:rsidR="00977FCF" w:rsidRDefault="00977FCF" w:rsidP="00977FCF">
      <w:pPr>
        <w:rPr>
          <w:noProof/>
          <w:lang w:val="id-ID"/>
        </w:rPr>
      </w:pPr>
      <w:r>
        <w:rPr>
          <w:noProof/>
          <w:lang w:val="id-ID"/>
        </w:rPr>
        <w:br w:type="page"/>
      </w:r>
    </w:p>
    <w:p w:rsidR="0052761D" w:rsidRDefault="00977FCF" w:rsidP="00977FCF">
      <w:pPr>
        <w:pStyle w:val="Heading1"/>
        <w:rPr>
          <w:noProof/>
          <w:lang w:val="en-ID"/>
        </w:rPr>
      </w:pPr>
      <w:r>
        <w:rPr>
          <w:noProof/>
          <w:lang w:val="en-ID"/>
        </w:rPr>
        <w:lastRenderedPageBreak/>
        <w:t>DAFTAR PUSTAKA</w:t>
      </w:r>
    </w:p>
    <w:p w:rsidR="0026526B" w:rsidRPr="0026526B" w:rsidRDefault="00977FCF" w:rsidP="0026526B">
      <w:pPr>
        <w:pStyle w:val="Bibliography"/>
        <w:rPr>
          <w:rFonts w:cs="Times New Roman"/>
          <w:szCs w:val="24"/>
        </w:rPr>
      </w:pPr>
      <w:r>
        <w:rPr>
          <w:lang w:val="en-ID"/>
        </w:rPr>
        <w:fldChar w:fldCharType="begin"/>
      </w:r>
      <w:r w:rsidR="00363434">
        <w:rPr>
          <w:lang w:val="en-ID"/>
        </w:rPr>
        <w:instrText xml:space="preserve"> ADDIN ZOTERO_BIBL {"uncited":[["http://zotero.org/users/local/z1Fhum2z/items/N698GTJI"]],"omitted":[],"custom":[]} CSL_BIBLIOGRAPHY </w:instrText>
      </w:r>
      <w:r>
        <w:rPr>
          <w:lang w:val="en-ID"/>
        </w:rPr>
        <w:fldChar w:fldCharType="separate"/>
      </w:r>
      <w:proofErr w:type="spellStart"/>
      <w:r w:rsidR="0026526B" w:rsidRPr="0026526B">
        <w:rPr>
          <w:rFonts w:cs="Times New Roman"/>
          <w:szCs w:val="24"/>
        </w:rPr>
        <w:t>Arta</w:t>
      </w:r>
      <w:proofErr w:type="spellEnd"/>
      <w:r w:rsidR="0026526B" w:rsidRPr="0026526B">
        <w:rPr>
          <w:rFonts w:cs="Times New Roman"/>
          <w:szCs w:val="24"/>
        </w:rPr>
        <w:t xml:space="preserve"> Dana, I. B. M., </w:t>
      </w:r>
      <w:proofErr w:type="spellStart"/>
      <w:r w:rsidR="0026526B" w:rsidRPr="0026526B">
        <w:rPr>
          <w:rFonts w:cs="Times New Roman"/>
          <w:szCs w:val="24"/>
        </w:rPr>
        <w:t>Hardjo</w:t>
      </w:r>
      <w:proofErr w:type="spellEnd"/>
      <w:r w:rsidR="0026526B" w:rsidRPr="0026526B">
        <w:rPr>
          <w:rFonts w:cs="Times New Roman"/>
          <w:szCs w:val="24"/>
        </w:rPr>
        <w:t xml:space="preserve">, P. H., </w:t>
      </w:r>
      <w:proofErr w:type="spellStart"/>
      <w:r w:rsidR="0026526B" w:rsidRPr="0026526B">
        <w:rPr>
          <w:rFonts w:cs="Times New Roman"/>
          <w:szCs w:val="24"/>
        </w:rPr>
        <w:t>Marianti</w:t>
      </w:r>
      <w:proofErr w:type="spellEnd"/>
      <w:r w:rsidR="0026526B" w:rsidRPr="0026526B">
        <w:rPr>
          <w:rFonts w:cs="Times New Roman"/>
          <w:szCs w:val="24"/>
        </w:rPr>
        <w:t xml:space="preserve"> </w:t>
      </w:r>
      <w:proofErr w:type="spellStart"/>
      <w:r w:rsidR="0026526B" w:rsidRPr="0026526B">
        <w:rPr>
          <w:rFonts w:cs="Times New Roman"/>
          <w:szCs w:val="24"/>
        </w:rPr>
        <w:t>Purwanto</w:t>
      </w:r>
      <w:proofErr w:type="spellEnd"/>
      <w:r w:rsidR="0026526B" w:rsidRPr="0026526B">
        <w:rPr>
          <w:rFonts w:cs="Times New Roman"/>
          <w:szCs w:val="24"/>
        </w:rPr>
        <w:t xml:space="preserve">, M. G., </w:t>
      </w:r>
      <w:proofErr w:type="spellStart"/>
      <w:r w:rsidR="0026526B" w:rsidRPr="0026526B">
        <w:rPr>
          <w:rFonts w:cs="Times New Roman"/>
          <w:szCs w:val="24"/>
        </w:rPr>
        <w:t>Pujiyanti</w:t>
      </w:r>
      <w:proofErr w:type="spellEnd"/>
      <w:r w:rsidR="0026526B" w:rsidRPr="0026526B">
        <w:rPr>
          <w:rFonts w:cs="Times New Roman"/>
          <w:szCs w:val="24"/>
        </w:rPr>
        <w:t xml:space="preserve">, A. S., &amp; </w:t>
      </w:r>
      <w:proofErr w:type="spellStart"/>
      <w:r w:rsidR="0026526B" w:rsidRPr="0026526B">
        <w:rPr>
          <w:rFonts w:cs="Times New Roman"/>
          <w:szCs w:val="24"/>
        </w:rPr>
        <w:t>Indriyani</w:t>
      </w:r>
      <w:proofErr w:type="spellEnd"/>
      <w:r w:rsidR="0026526B" w:rsidRPr="0026526B">
        <w:rPr>
          <w:rFonts w:cs="Times New Roman"/>
          <w:szCs w:val="24"/>
        </w:rPr>
        <w:t xml:space="preserve">, I. (2021). Ethyl Methane </w:t>
      </w:r>
      <w:proofErr w:type="spellStart"/>
      <w:r w:rsidR="0026526B" w:rsidRPr="0026526B">
        <w:rPr>
          <w:rFonts w:cs="Times New Roman"/>
          <w:szCs w:val="24"/>
        </w:rPr>
        <w:t>Sulfonate</w:t>
      </w:r>
      <w:proofErr w:type="spellEnd"/>
      <w:r w:rsidR="0026526B" w:rsidRPr="0026526B">
        <w:rPr>
          <w:rFonts w:cs="Times New Roman"/>
          <w:szCs w:val="24"/>
        </w:rPr>
        <w:t xml:space="preserve"> (EMS) Effect on Mutagenesis in Balinese Red Rice (</w:t>
      </w:r>
      <w:proofErr w:type="spellStart"/>
      <w:r w:rsidR="0026526B" w:rsidRPr="0026526B">
        <w:rPr>
          <w:rFonts w:cs="Times New Roman"/>
          <w:szCs w:val="24"/>
        </w:rPr>
        <w:t>Oryza</w:t>
      </w:r>
      <w:proofErr w:type="spellEnd"/>
      <w:r w:rsidR="0026526B" w:rsidRPr="0026526B">
        <w:rPr>
          <w:rFonts w:cs="Times New Roman"/>
          <w:szCs w:val="24"/>
        </w:rPr>
        <w:t xml:space="preserve"> sativa cv. Barak </w:t>
      </w:r>
      <w:proofErr w:type="spellStart"/>
      <w:r w:rsidR="0026526B" w:rsidRPr="0026526B">
        <w:rPr>
          <w:rFonts w:cs="Times New Roman"/>
          <w:szCs w:val="24"/>
        </w:rPr>
        <w:t>Cenana</w:t>
      </w:r>
      <w:proofErr w:type="spellEnd"/>
      <w:r w:rsidR="0026526B" w:rsidRPr="0026526B">
        <w:rPr>
          <w:rFonts w:cs="Times New Roman"/>
          <w:szCs w:val="24"/>
        </w:rPr>
        <w:t xml:space="preserve">). </w:t>
      </w:r>
      <w:proofErr w:type="spellStart"/>
      <w:r w:rsidR="0026526B" w:rsidRPr="0026526B">
        <w:rPr>
          <w:rFonts w:cs="Times New Roman"/>
          <w:i/>
          <w:iCs/>
          <w:szCs w:val="24"/>
        </w:rPr>
        <w:t>Jurnal</w:t>
      </w:r>
      <w:proofErr w:type="spellEnd"/>
      <w:r w:rsidR="0026526B" w:rsidRPr="0026526B">
        <w:rPr>
          <w:rFonts w:cs="Times New Roman"/>
          <w:i/>
          <w:iCs/>
          <w:szCs w:val="24"/>
        </w:rPr>
        <w:t xml:space="preserve"> </w:t>
      </w:r>
      <w:proofErr w:type="spellStart"/>
      <w:r w:rsidR="0026526B" w:rsidRPr="0026526B">
        <w:rPr>
          <w:rFonts w:cs="Times New Roman"/>
          <w:i/>
          <w:iCs/>
          <w:szCs w:val="24"/>
        </w:rPr>
        <w:t>Biologi</w:t>
      </w:r>
      <w:proofErr w:type="spellEnd"/>
      <w:r w:rsidR="0026526B" w:rsidRPr="0026526B">
        <w:rPr>
          <w:rFonts w:cs="Times New Roman"/>
          <w:i/>
          <w:iCs/>
          <w:szCs w:val="24"/>
        </w:rPr>
        <w:t xml:space="preserve"> </w:t>
      </w:r>
      <w:proofErr w:type="spellStart"/>
      <w:r w:rsidR="0026526B" w:rsidRPr="0026526B">
        <w:rPr>
          <w:rFonts w:cs="Times New Roman"/>
          <w:i/>
          <w:iCs/>
          <w:szCs w:val="24"/>
        </w:rPr>
        <w:t>Tropis</w:t>
      </w:r>
      <w:proofErr w:type="spellEnd"/>
      <w:r w:rsidR="0026526B" w:rsidRPr="0026526B">
        <w:rPr>
          <w:rFonts w:cs="Times New Roman"/>
          <w:szCs w:val="24"/>
        </w:rPr>
        <w:t xml:space="preserve">, </w:t>
      </w:r>
      <w:r w:rsidR="0026526B" w:rsidRPr="0026526B">
        <w:rPr>
          <w:rFonts w:cs="Times New Roman"/>
          <w:i/>
          <w:iCs/>
          <w:szCs w:val="24"/>
        </w:rPr>
        <w:t>21</w:t>
      </w:r>
      <w:r w:rsidR="0026526B" w:rsidRPr="0026526B">
        <w:rPr>
          <w:rFonts w:cs="Times New Roman"/>
          <w:szCs w:val="24"/>
        </w:rPr>
        <w:t>(3), 698–705. https://doi.org/10.29303/jbt.v21i3.2815</w:t>
      </w:r>
    </w:p>
    <w:p w:rsidR="0026526B" w:rsidRPr="0026526B" w:rsidRDefault="0026526B" w:rsidP="0026526B">
      <w:pPr>
        <w:pStyle w:val="Bibliography"/>
        <w:rPr>
          <w:rFonts w:cs="Times New Roman"/>
          <w:szCs w:val="24"/>
        </w:rPr>
      </w:pPr>
      <w:r w:rsidRPr="0026526B">
        <w:rPr>
          <w:rFonts w:cs="Times New Roman"/>
          <w:szCs w:val="24"/>
        </w:rPr>
        <w:t xml:space="preserve">Chen, L., </w:t>
      </w:r>
      <w:proofErr w:type="spellStart"/>
      <w:r w:rsidRPr="0026526B">
        <w:rPr>
          <w:rFonts w:cs="Times New Roman"/>
          <w:szCs w:val="24"/>
        </w:rPr>
        <w:t>Duan</w:t>
      </w:r>
      <w:proofErr w:type="spellEnd"/>
      <w:r w:rsidRPr="0026526B">
        <w:rPr>
          <w:rFonts w:cs="Times New Roman"/>
          <w:szCs w:val="24"/>
        </w:rPr>
        <w:t xml:space="preserve">, L., Sun, M., Yang, Z., Li, H., Hu, K., Yang, H., &amp; Liu, L. (2023). Current trends and insights on EMS mutagenesis application to studies on plant abiotic stress tolerance and development. </w:t>
      </w:r>
      <w:r w:rsidRPr="0026526B">
        <w:rPr>
          <w:rFonts w:cs="Times New Roman"/>
          <w:i/>
          <w:iCs/>
          <w:szCs w:val="24"/>
        </w:rPr>
        <w:t>Frontiers in Plant Science</w:t>
      </w:r>
      <w:r w:rsidRPr="0026526B">
        <w:rPr>
          <w:rFonts w:cs="Times New Roman"/>
          <w:szCs w:val="24"/>
        </w:rPr>
        <w:t xml:space="preserve">, </w:t>
      </w:r>
      <w:r w:rsidRPr="0026526B">
        <w:rPr>
          <w:rFonts w:cs="Times New Roman"/>
          <w:i/>
          <w:iCs/>
          <w:szCs w:val="24"/>
        </w:rPr>
        <w:t>13</w:t>
      </w:r>
      <w:r w:rsidRPr="0026526B">
        <w:rPr>
          <w:rFonts w:cs="Times New Roman"/>
          <w:szCs w:val="24"/>
        </w:rPr>
        <w:t>, 1052569. https://doi.org/10.3389/fpls.2022.1052569</w:t>
      </w:r>
    </w:p>
    <w:p w:rsidR="0026526B" w:rsidRPr="0026526B" w:rsidRDefault="0026526B" w:rsidP="0026526B">
      <w:pPr>
        <w:pStyle w:val="Bibliography"/>
        <w:rPr>
          <w:rFonts w:cs="Times New Roman"/>
          <w:szCs w:val="24"/>
        </w:rPr>
      </w:pPr>
      <w:r w:rsidRPr="0026526B">
        <w:rPr>
          <w:rFonts w:cs="Times New Roman"/>
          <w:szCs w:val="24"/>
        </w:rPr>
        <w:t xml:space="preserve">EFSA Panel on Genetically Modified Organisms (GMO), Mullins, E., </w:t>
      </w:r>
      <w:proofErr w:type="spellStart"/>
      <w:r w:rsidRPr="0026526B">
        <w:rPr>
          <w:rFonts w:cs="Times New Roman"/>
          <w:szCs w:val="24"/>
        </w:rPr>
        <w:t>Bresson</w:t>
      </w:r>
      <w:proofErr w:type="spellEnd"/>
      <w:r w:rsidRPr="0026526B">
        <w:rPr>
          <w:rFonts w:cs="Times New Roman"/>
          <w:szCs w:val="24"/>
        </w:rPr>
        <w:t xml:space="preserve">, J., </w:t>
      </w:r>
      <w:proofErr w:type="spellStart"/>
      <w:r w:rsidRPr="0026526B">
        <w:rPr>
          <w:rFonts w:cs="Times New Roman"/>
          <w:szCs w:val="24"/>
        </w:rPr>
        <w:t>Dalmay</w:t>
      </w:r>
      <w:proofErr w:type="spellEnd"/>
      <w:r w:rsidRPr="0026526B">
        <w:rPr>
          <w:rFonts w:cs="Times New Roman"/>
          <w:szCs w:val="24"/>
        </w:rPr>
        <w:t xml:space="preserve">, T., Dewhurst, I. C., Epstein, M. M., Firbank, L. G., </w:t>
      </w:r>
      <w:proofErr w:type="spellStart"/>
      <w:r w:rsidRPr="0026526B">
        <w:rPr>
          <w:rFonts w:cs="Times New Roman"/>
          <w:szCs w:val="24"/>
        </w:rPr>
        <w:t>Guerche</w:t>
      </w:r>
      <w:proofErr w:type="spellEnd"/>
      <w:r w:rsidRPr="0026526B">
        <w:rPr>
          <w:rFonts w:cs="Times New Roman"/>
          <w:szCs w:val="24"/>
        </w:rPr>
        <w:t xml:space="preserve">, P., </w:t>
      </w:r>
      <w:proofErr w:type="spellStart"/>
      <w:r w:rsidRPr="0026526B">
        <w:rPr>
          <w:rFonts w:cs="Times New Roman"/>
          <w:szCs w:val="24"/>
        </w:rPr>
        <w:t>Hejatko</w:t>
      </w:r>
      <w:proofErr w:type="spellEnd"/>
      <w:r w:rsidRPr="0026526B">
        <w:rPr>
          <w:rFonts w:cs="Times New Roman"/>
          <w:szCs w:val="24"/>
        </w:rPr>
        <w:t xml:space="preserve">, J., Moreno, F. J., </w:t>
      </w:r>
      <w:proofErr w:type="spellStart"/>
      <w:r w:rsidRPr="0026526B">
        <w:rPr>
          <w:rFonts w:cs="Times New Roman"/>
          <w:szCs w:val="24"/>
        </w:rPr>
        <w:t>Naegeli</w:t>
      </w:r>
      <w:proofErr w:type="spellEnd"/>
      <w:r w:rsidRPr="0026526B">
        <w:rPr>
          <w:rFonts w:cs="Times New Roman"/>
          <w:szCs w:val="24"/>
        </w:rPr>
        <w:t xml:space="preserve">, H., </w:t>
      </w:r>
      <w:proofErr w:type="spellStart"/>
      <w:r w:rsidRPr="0026526B">
        <w:rPr>
          <w:rFonts w:cs="Times New Roman"/>
          <w:szCs w:val="24"/>
        </w:rPr>
        <w:t>Nogué</w:t>
      </w:r>
      <w:proofErr w:type="spellEnd"/>
      <w:r w:rsidRPr="0026526B">
        <w:rPr>
          <w:rFonts w:cs="Times New Roman"/>
          <w:szCs w:val="24"/>
        </w:rPr>
        <w:t xml:space="preserve">, F., Sánchez Serrano, J. J., </w:t>
      </w:r>
      <w:proofErr w:type="spellStart"/>
      <w:r w:rsidRPr="0026526B">
        <w:rPr>
          <w:rFonts w:cs="Times New Roman"/>
          <w:szCs w:val="24"/>
        </w:rPr>
        <w:t>Savoini</w:t>
      </w:r>
      <w:proofErr w:type="spellEnd"/>
      <w:r w:rsidRPr="0026526B">
        <w:rPr>
          <w:rFonts w:cs="Times New Roman"/>
          <w:szCs w:val="24"/>
        </w:rPr>
        <w:t xml:space="preserve">, G., </w:t>
      </w:r>
      <w:proofErr w:type="spellStart"/>
      <w:r w:rsidRPr="0026526B">
        <w:rPr>
          <w:rFonts w:cs="Times New Roman"/>
          <w:szCs w:val="24"/>
        </w:rPr>
        <w:t>Veromann</w:t>
      </w:r>
      <w:proofErr w:type="spellEnd"/>
      <w:r w:rsidRPr="0026526B">
        <w:rPr>
          <w:rFonts w:cs="Times New Roman"/>
          <w:szCs w:val="24"/>
        </w:rPr>
        <w:t xml:space="preserve">, E., </w:t>
      </w:r>
      <w:proofErr w:type="spellStart"/>
      <w:r w:rsidRPr="0026526B">
        <w:rPr>
          <w:rFonts w:cs="Times New Roman"/>
          <w:szCs w:val="24"/>
        </w:rPr>
        <w:t>Veronesi</w:t>
      </w:r>
      <w:proofErr w:type="spellEnd"/>
      <w:r w:rsidRPr="0026526B">
        <w:rPr>
          <w:rFonts w:cs="Times New Roman"/>
          <w:szCs w:val="24"/>
        </w:rPr>
        <w:t xml:space="preserve">, F., </w:t>
      </w:r>
      <w:proofErr w:type="spellStart"/>
      <w:r w:rsidRPr="0026526B">
        <w:rPr>
          <w:rFonts w:cs="Times New Roman"/>
          <w:szCs w:val="24"/>
        </w:rPr>
        <w:t>Casacuberta</w:t>
      </w:r>
      <w:proofErr w:type="spellEnd"/>
      <w:r w:rsidRPr="0026526B">
        <w:rPr>
          <w:rFonts w:cs="Times New Roman"/>
          <w:szCs w:val="24"/>
        </w:rPr>
        <w:t xml:space="preserve">, J., </w:t>
      </w:r>
      <w:proofErr w:type="spellStart"/>
      <w:r w:rsidRPr="0026526B">
        <w:rPr>
          <w:rFonts w:cs="Times New Roman"/>
          <w:szCs w:val="24"/>
        </w:rPr>
        <w:t>Lenzi</w:t>
      </w:r>
      <w:proofErr w:type="spellEnd"/>
      <w:r w:rsidRPr="0026526B">
        <w:rPr>
          <w:rFonts w:cs="Times New Roman"/>
          <w:szCs w:val="24"/>
        </w:rPr>
        <w:t xml:space="preserve">, P., Munoz Guajardo, I., … </w:t>
      </w:r>
      <w:proofErr w:type="spellStart"/>
      <w:r w:rsidRPr="0026526B">
        <w:rPr>
          <w:rFonts w:cs="Times New Roman"/>
          <w:szCs w:val="24"/>
        </w:rPr>
        <w:t>Rostoks</w:t>
      </w:r>
      <w:proofErr w:type="spellEnd"/>
      <w:r w:rsidRPr="0026526B">
        <w:rPr>
          <w:rFonts w:cs="Times New Roman"/>
          <w:szCs w:val="24"/>
        </w:rPr>
        <w:t xml:space="preserve">, N. (2021). In vivo and in vitro random mutagenesis techniques in plants. </w:t>
      </w:r>
      <w:r w:rsidRPr="0026526B">
        <w:rPr>
          <w:rFonts w:cs="Times New Roman"/>
          <w:i/>
          <w:iCs/>
          <w:szCs w:val="24"/>
        </w:rPr>
        <w:t>EFSA Journal</w:t>
      </w:r>
      <w:r w:rsidRPr="0026526B">
        <w:rPr>
          <w:rFonts w:cs="Times New Roman"/>
          <w:szCs w:val="24"/>
        </w:rPr>
        <w:t xml:space="preserve">, </w:t>
      </w:r>
      <w:r w:rsidRPr="0026526B">
        <w:rPr>
          <w:rFonts w:cs="Times New Roman"/>
          <w:i/>
          <w:iCs/>
          <w:szCs w:val="24"/>
        </w:rPr>
        <w:t>19</w:t>
      </w:r>
      <w:r w:rsidRPr="0026526B">
        <w:rPr>
          <w:rFonts w:cs="Times New Roman"/>
          <w:szCs w:val="24"/>
        </w:rPr>
        <w:t>(11). https://doi.org/10.2903/j.efsa.2021.6611</w:t>
      </w:r>
    </w:p>
    <w:p w:rsidR="0026526B" w:rsidRPr="0026526B" w:rsidRDefault="0026526B" w:rsidP="0026526B">
      <w:pPr>
        <w:pStyle w:val="Bibliography"/>
        <w:rPr>
          <w:rFonts w:cs="Times New Roman"/>
          <w:szCs w:val="24"/>
        </w:rPr>
      </w:pPr>
      <w:r w:rsidRPr="0026526B">
        <w:rPr>
          <w:rFonts w:cs="Times New Roman"/>
          <w:szCs w:val="24"/>
        </w:rPr>
        <w:t xml:space="preserve">Lestari, E. G. (2021). </w:t>
      </w:r>
      <w:r w:rsidRPr="0026526B">
        <w:rPr>
          <w:rFonts w:cs="Times New Roman"/>
          <w:i/>
          <w:iCs/>
          <w:szCs w:val="24"/>
        </w:rPr>
        <w:t>APLIKASI INDUKSI MUTASI UNTUK PEMULIAAN TANAMAN HIAS</w:t>
      </w:r>
      <w:r w:rsidRPr="0026526B">
        <w:rPr>
          <w:rFonts w:cs="Times New Roman"/>
          <w:szCs w:val="24"/>
        </w:rPr>
        <w:t>.</w:t>
      </w:r>
    </w:p>
    <w:p w:rsidR="0026526B" w:rsidRPr="0026526B" w:rsidRDefault="0026526B" w:rsidP="0026526B">
      <w:pPr>
        <w:pStyle w:val="Bibliography"/>
        <w:rPr>
          <w:rFonts w:cs="Times New Roman"/>
          <w:szCs w:val="24"/>
        </w:rPr>
      </w:pPr>
      <w:proofErr w:type="spellStart"/>
      <w:r w:rsidRPr="0026526B">
        <w:rPr>
          <w:rFonts w:cs="Times New Roman"/>
          <w:szCs w:val="24"/>
        </w:rPr>
        <w:t>Putri</w:t>
      </w:r>
      <w:proofErr w:type="spellEnd"/>
      <w:r w:rsidRPr="0026526B">
        <w:rPr>
          <w:rFonts w:cs="Times New Roman"/>
          <w:szCs w:val="24"/>
        </w:rPr>
        <w:t xml:space="preserve">, E. E., </w:t>
      </w:r>
      <w:proofErr w:type="spellStart"/>
      <w:r w:rsidRPr="0026526B">
        <w:rPr>
          <w:rFonts w:cs="Times New Roman"/>
          <w:szCs w:val="24"/>
        </w:rPr>
        <w:t>Pasangka</w:t>
      </w:r>
      <w:proofErr w:type="spellEnd"/>
      <w:r w:rsidRPr="0026526B">
        <w:rPr>
          <w:rFonts w:cs="Times New Roman"/>
          <w:szCs w:val="24"/>
        </w:rPr>
        <w:t xml:space="preserve">, B., &amp; </w:t>
      </w:r>
      <w:proofErr w:type="spellStart"/>
      <w:r w:rsidRPr="0026526B">
        <w:rPr>
          <w:rFonts w:cs="Times New Roman"/>
          <w:szCs w:val="24"/>
        </w:rPr>
        <w:t>Louk</w:t>
      </w:r>
      <w:proofErr w:type="spellEnd"/>
      <w:r w:rsidRPr="0026526B">
        <w:rPr>
          <w:rFonts w:cs="Times New Roman"/>
          <w:szCs w:val="24"/>
        </w:rPr>
        <w:t xml:space="preserve">, A. C. (2024). </w:t>
      </w:r>
      <w:proofErr w:type="spellStart"/>
      <w:r w:rsidRPr="0026526B">
        <w:rPr>
          <w:rFonts w:cs="Times New Roman"/>
          <w:i/>
          <w:iCs/>
          <w:szCs w:val="24"/>
        </w:rPr>
        <w:t>Pemuliaan</w:t>
      </w:r>
      <w:proofErr w:type="spellEnd"/>
      <w:r w:rsidRPr="0026526B">
        <w:rPr>
          <w:rFonts w:cs="Times New Roman"/>
          <w:i/>
          <w:iCs/>
          <w:szCs w:val="24"/>
        </w:rPr>
        <w:t xml:space="preserve"> </w:t>
      </w:r>
      <w:proofErr w:type="spellStart"/>
      <w:r w:rsidRPr="0026526B">
        <w:rPr>
          <w:rFonts w:cs="Times New Roman"/>
          <w:i/>
          <w:iCs/>
          <w:szCs w:val="24"/>
        </w:rPr>
        <w:t>Tanaman</w:t>
      </w:r>
      <w:proofErr w:type="spellEnd"/>
      <w:r w:rsidRPr="0026526B">
        <w:rPr>
          <w:rFonts w:cs="Times New Roman"/>
          <w:i/>
          <w:iCs/>
          <w:szCs w:val="24"/>
        </w:rPr>
        <w:t xml:space="preserve"> </w:t>
      </w:r>
      <w:proofErr w:type="spellStart"/>
      <w:r w:rsidRPr="0026526B">
        <w:rPr>
          <w:rFonts w:cs="Times New Roman"/>
          <w:i/>
          <w:iCs/>
          <w:szCs w:val="24"/>
        </w:rPr>
        <w:t>Bayam</w:t>
      </w:r>
      <w:proofErr w:type="spellEnd"/>
      <w:r w:rsidRPr="0026526B">
        <w:rPr>
          <w:rFonts w:cs="Times New Roman"/>
          <w:i/>
          <w:iCs/>
          <w:szCs w:val="24"/>
        </w:rPr>
        <w:t xml:space="preserve"> </w:t>
      </w:r>
      <w:proofErr w:type="spellStart"/>
      <w:r w:rsidRPr="0026526B">
        <w:rPr>
          <w:rFonts w:cs="Times New Roman"/>
          <w:i/>
          <w:iCs/>
          <w:szCs w:val="24"/>
        </w:rPr>
        <w:t>Lokal</w:t>
      </w:r>
      <w:proofErr w:type="spellEnd"/>
      <w:r w:rsidRPr="0026526B">
        <w:rPr>
          <w:rFonts w:cs="Times New Roman"/>
          <w:i/>
          <w:iCs/>
          <w:szCs w:val="24"/>
        </w:rPr>
        <w:t xml:space="preserve"> Timor </w:t>
      </w:r>
      <w:proofErr w:type="spellStart"/>
      <w:r w:rsidRPr="0026526B">
        <w:rPr>
          <w:rFonts w:cs="Times New Roman"/>
          <w:i/>
          <w:iCs/>
          <w:szCs w:val="24"/>
        </w:rPr>
        <w:t>dengan</w:t>
      </w:r>
      <w:proofErr w:type="spellEnd"/>
      <w:r w:rsidRPr="0026526B">
        <w:rPr>
          <w:rFonts w:cs="Times New Roman"/>
          <w:i/>
          <w:iCs/>
          <w:szCs w:val="24"/>
        </w:rPr>
        <w:t xml:space="preserve"> </w:t>
      </w:r>
      <w:proofErr w:type="spellStart"/>
      <w:r w:rsidRPr="0026526B">
        <w:rPr>
          <w:rFonts w:cs="Times New Roman"/>
          <w:i/>
          <w:iCs/>
          <w:szCs w:val="24"/>
        </w:rPr>
        <w:t>Metode</w:t>
      </w:r>
      <w:proofErr w:type="spellEnd"/>
      <w:r w:rsidRPr="0026526B">
        <w:rPr>
          <w:rFonts w:cs="Times New Roman"/>
          <w:i/>
          <w:iCs/>
          <w:szCs w:val="24"/>
        </w:rPr>
        <w:t xml:space="preserve"> </w:t>
      </w:r>
      <w:proofErr w:type="spellStart"/>
      <w:r w:rsidRPr="0026526B">
        <w:rPr>
          <w:rFonts w:cs="Times New Roman"/>
          <w:i/>
          <w:iCs/>
          <w:szCs w:val="24"/>
        </w:rPr>
        <w:t>Radiasi</w:t>
      </w:r>
      <w:proofErr w:type="spellEnd"/>
      <w:r w:rsidRPr="0026526B">
        <w:rPr>
          <w:rFonts w:cs="Times New Roman"/>
          <w:i/>
          <w:iCs/>
          <w:szCs w:val="24"/>
        </w:rPr>
        <w:t xml:space="preserve"> </w:t>
      </w:r>
      <w:proofErr w:type="spellStart"/>
      <w:r w:rsidRPr="0026526B">
        <w:rPr>
          <w:rFonts w:cs="Times New Roman"/>
          <w:i/>
          <w:iCs/>
          <w:szCs w:val="24"/>
        </w:rPr>
        <w:t>Multigamma</w:t>
      </w:r>
      <w:proofErr w:type="spellEnd"/>
      <w:r w:rsidRPr="0026526B">
        <w:rPr>
          <w:rFonts w:cs="Times New Roman"/>
          <w:i/>
          <w:iCs/>
          <w:szCs w:val="24"/>
        </w:rPr>
        <w:t xml:space="preserve"> </w:t>
      </w:r>
      <w:proofErr w:type="spellStart"/>
      <w:r w:rsidRPr="0026526B">
        <w:rPr>
          <w:rFonts w:cs="Times New Roman"/>
          <w:i/>
          <w:iCs/>
          <w:szCs w:val="24"/>
        </w:rPr>
        <w:t>Standar</w:t>
      </w:r>
      <w:proofErr w:type="spellEnd"/>
      <w:r w:rsidRPr="0026526B">
        <w:rPr>
          <w:rFonts w:cs="Times New Roman"/>
          <w:szCs w:val="24"/>
        </w:rPr>
        <w:t xml:space="preserve">. </w:t>
      </w:r>
      <w:r w:rsidRPr="0026526B">
        <w:rPr>
          <w:rFonts w:cs="Times New Roman"/>
          <w:i/>
          <w:iCs/>
          <w:szCs w:val="24"/>
        </w:rPr>
        <w:t>4</w:t>
      </w:r>
      <w:r w:rsidRPr="0026526B">
        <w:rPr>
          <w:rFonts w:cs="Times New Roman"/>
          <w:szCs w:val="24"/>
        </w:rPr>
        <w:t>(1).</w:t>
      </w:r>
    </w:p>
    <w:p w:rsidR="0026526B" w:rsidRPr="0026526B" w:rsidRDefault="0026526B" w:rsidP="0026526B">
      <w:pPr>
        <w:pStyle w:val="Bibliography"/>
        <w:rPr>
          <w:rFonts w:cs="Times New Roman"/>
          <w:szCs w:val="24"/>
        </w:rPr>
      </w:pPr>
      <w:r w:rsidRPr="0026526B">
        <w:rPr>
          <w:rFonts w:cs="Times New Roman"/>
          <w:szCs w:val="24"/>
        </w:rPr>
        <w:t xml:space="preserve">Reddy, M. S., &amp; </w:t>
      </w:r>
      <w:proofErr w:type="spellStart"/>
      <w:r w:rsidRPr="0026526B">
        <w:rPr>
          <w:rFonts w:cs="Times New Roman"/>
          <w:szCs w:val="24"/>
        </w:rPr>
        <w:t>Pinjari</w:t>
      </w:r>
      <w:proofErr w:type="spellEnd"/>
      <w:r w:rsidRPr="0026526B">
        <w:rPr>
          <w:rFonts w:cs="Times New Roman"/>
          <w:szCs w:val="24"/>
        </w:rPr>
        <w:t xml:space="preserve">, O. B. (2023). Mutagenesis Approaches in Plants and their Applications. </w:t>
      </w:r>
      <w:r w:rsidRPr="0026526B">
        <w:rPr>
          <w:rFonts w:cs="Times New Roman"/>
          <w:i/>
          <w:iCs/>
          <w:szCs w:val="24"/>
        </w:rPr>
        <w:t>Asian Journal of Agriculture and Allied Sciences</w:t>
      </w:r>
      <w:r w:rsidRPr="0026526B">
        <w:rPr>
          <w:rFonts w:cs="Times New Roman"/>
          <w:szCs w:val="24"/>
        </w:rPr>
        <w:t xml:space="preserve">, </w:t>
      </w:r>
      <w:r w:rsidRPr="0026526B">
        <w:rPr>
          <w:rFonts w:cs="Times New Roman"/>
          <w:i/>
          <w:iCs/>
          <w:szCs w:val="24"/>
        </w:rPr>
        <w:t>6</w:t>
      </w:r>
      <w:r w:rsidRPr="0026526B">
        <w:rPr>
          <w:rFonts w:cs="Times New Roman"/>
          <w:szCs w:val="24"/>
        </w:rPr>
        <w:t>(1), 20–29. https://doi.org/10.56557/ajaas/2023/v6i135</w:t>
      </w:r>
    </w:p>
    <w:p w:rsidR="00B45680" w:rsidRPr="00977FCF" w:rsidRDefault="00977FCF" w:rsidP="00977FCF">
      <w:pPr>
        <w:jc w:val="both"/>
        <w:rPr>
          <w:lang w:val="en-ID"/>
        </w:rPr>
      </w:pPr>
      <w:r>
        <w:rPr>
          <w:lang w:val="en-ID"/>
        </w:rPr>
        <w:fldChar w:fldCharType="end"/>
      </w:r>
    </w:p>
    <w:sectPr w:rsidR="00B45680" w:rsidRPr="00977F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03551"/>
    <w:multiLevelType w:val="multilevel"/>
    <w:tmpl w:val="54AA786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53692948"/>
    <w:multiLevelType w:val="hybridMultilevel"/>
    <w:tmpl w:val="C178C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61D"/>
    <w:rsid w:val="0001312C"/>
    <w:rsid w:val="00044511"/>
    <w:rsid w:val="0010081C"/>
    <w:rsid w:val="001661C2"/>
    <w:rsid w:val="001D2405"/>
    <w:rsid w:val="0026526B"/>
    <w:rsid w:val="0029027B"/>
    <w:rsid w:val="00363434"/>
    <w:rsid w:val="00396F53"/>
    <w:rsid w:val="0052761D"/>
    <w:rsid w:val="005A605D"/>
    <w:rsid w:val="006000BF"/>
    <w:rsid w:val="006E264C"/>
    <w:rsid w:val="00977FCF"/>
    <w:rsid w:val="009B1FC7"/>
    <w:rsid w:val="009F3DD0"/>
    <w:rsid w:val="00A9720C"/>
    <w:rsid w:val="00B43E8B"/>
    <w:rsid w:val="00B45680"/>
    <w:rsid w:val="00B974A0"/>
    <w:rsid w:val="00BF78C8"/>
    <w:rsid w:val="00CB24A8"/>
    <w:rsid w:val="00CF32C1"/>
    <w:rsid w:val="00D31FF4"/>
    <w:rsid w:val="00E1335A"/>
    <w:rsid w:val="00EE4CA4"/>
    <w:rsid w:val="00FE5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42561B-6259-41CF-9641-A8BDD0EEF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4A0"/>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52761D"/>
    <w:pPr>
      <w:keepNext/>
      <w:keepLines/>
      <w:spacing w:before="240" w:after="0"/>
      <w:jc w:val="center"/>
      <w:outlineLvl w:val="0"/>
    </w:pPr>
    <w:rPr>
      <w:rFonts w:eastAsiaTheme="majorEastAsia" w:cstheme="majorBidi"/>
      <w:b/>
      <w:color w:val="000000" w:themeColor="text1"/>
      <w:sz w:val="34"/>
      <w:szCs w:val="32"/>
    </w:rPr>
  </w:style>
  <w:style w:type="paragraph" w:styleId="Heading2">
    <w:name w:val="heading 2"/>
    <w:basedOn w:val="Normal"/>
    <w:next w:val="Normal"/>
    <w:link w:val="Heading2Char"/>
    <w:uiPriority w:val="9"/>
    <w:unhideWhenUsed/>
    <w:qFormat/>
    <w:rsid w:val="0052761D"/>
    <w:pPr>
      <w:keepNext/>
      <w:keepLines/>
      <w:spacing w:before="40" w:after="0"/>
      <w:outlineLvl w:val="1"/>
    </w:pPr>
    <w:rPr>
      <w:rFonts w:eastAsiaTheme="majorEastAsia" w:cstheme="majorBidi"/>
      <w:b/>
      <w:color w:val="000000" w:themeColor="text1"/>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61D"/>
    <w:rPr>
      <w:rFonts w:ascii="Times New Roman" w:eastAsiaTheme="majorEastAsia" w:hAnsi="Times New Roman" w:cstheme="majorBidi"/>
      <w:b/>
      <w:color w:val="000000" w:themeColor="text1"/>
      <w:sz w:val="34"/>
      <w:szCs w:val="32"/>
    </w:rPr>
  </w:style>
  <w:style w:type="paragraph" w:styleId="BalloonText">
    <w:name w:val="Balloon Text"/>
    <w:basedOn w:val="Normal"/>
    <w:link w:val="BalloonTextChar"/>
    <w:uiPriority w:val="99"/>
    <w:semiHidden/>
    <w:unhideWhenUsed/>
    <w:rsid w:val="0052761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61D"/>
    <w:rPr>
      <w:rFonts w:ascii="Segoe UI" w:hAnsi="Segoe UI" w:cs="Segoe UI"/>
      <w:sz w:val="18"/>
      <w:szCs w:val="18"/>
    </w:rPr>
  </w:style>
  <w:style w:type="character" w:customStyle="1" w:styleId="Heading2Char">
    <w:name w:val="Heading 2 Char"/>
    <w:basedOn w:val="DefaultParagraphFont"/>
    <w:link w:val="Heading2"/>
    <w:uiPriority w:val="9"/>
    <w:rsid w:val="0052761D"/>
    <w:rPr>
      <w:rFonts w:ascii="Times New Roman" w:eastAsiaTheme="majorEastAsia" w:hAnsi="Times New Roman" w:cstheme="majorBidi"/>
      <w:b/>
      <w:color w:val="000000" w:themeColor="text1"/>
      <w:sz w:val="28"/>
      <w:szCs w:val="26"/>
    </w:rPr>
  </w:style>
  <w:style w:type="paragraph" w:styleId="ListParagraph">
    <w:name w:val="List Paragraph"/>
    <w:basedOn w:val="Normal"/>
    <w:uiPriority w:val="34"/>
    <w:qFormat/>
    <w:rsid w:val="0052761D"/>
    <w:pPr>
      <w:ind w:left="720"/>
      <w:contextualSpacing/>
    </w:pPr>
  </w:style>
  <w:style w:type="paragraph" w:styleId="Bibliography">
    <w:name w:val="Bibliography"/>
    <w:basedOn w:val="Normal"/>
    <w:next w:val="Normal"/>
    <w:uiPriority w:val="37"/>
    <w:unhideWhenUsed/>
    <w:rsid w:val="00977FCF"/>
    <w:pPr>
      <w:spacing w:after="0" w:line="480" w:lineRule="auto"/>
      <w:ind w:left="720" w:hanging="720"/>
    </w:pPr>
  </w:style>
  <w:style w:type="paragraph" w:styleId="Title">
    <w:name w:val="Title"/>
    <w:basedOn w:val="Normal"/>
    <w:next w:val="Normal"/>
    <w:link w:val="TitleChar"/>
    <w:uiPriority w:val="10"/>
    <w:qFormat/>
    <w:rsid w:val="00977FCF"/>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FC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3</Pages>
  <Words>2824</Words>
  <Characters>16099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Tole</dc:creator>
  <cp:keywords/>
  <dc:description/>
  <cp:lastModifiedBy>Tole</cp:lastModifiedBy>
  <cp:revision>7</cp:revision>
  <dcterms:created xsi:type="dcterms:W3CDTF">2025-03-13T18:57:00Z</dcterms:created>
  <dcterms:modified xsi:type="dcterms:W3CDTF">2025-05-01T19:07:00Z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id="FPSzSlkP"/&gt;&lt;style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