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1F3864"/>
          <w:sz w:val="30"/>
        </w:rPr>
        <w:t>Exercise 05. Атрибуты масштабирования и локализации</w:t>
      </w:r>
    </w:p>
    <w:p>
      <w:pPr>
        <w:pStyle w:val="Heading1"/>
      </w:pPr>
      <w:r>
        <w:t>1. Задача 1. Запись на стрижку</w:t>
      </w:r>
    </w:p>
    <w:p>
      <w:pPr>
        <w:pStyle w:val="Heading2"/>
      </w:pPr>
      <w:r>
        <w:t>1.1. Масштабирование</w:t>
      </w:r>
    </w:p>
    <w:p>
      <w:pPr>
        <w:spacing w:after="140"/>
      </w:pPr>
      <w:r>
        <w:rPr>
          <w:rFonts w:ascii="Arial" w:hAnsi="Arial"/>
          <w:b/>
          <w:i w:val="0"/>
          <w:sz w:val="21"/>
        </w:rPr>
        <w:t>Потребность в масштабировании: есть.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778"/>
        <w:gridCol w:w="6236"/>
      </w:tblGrid>
      <w:tr>
        <w:trPr>
          <w:tblHeader w:val="true"/>
          <w:cantSplit/>
        </w:trPr>
        <w:tc>
          <w:tcPr>
            <w:tcW w:type="dxa" w:w="624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2778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Атрибут</w:t>
            </w:r>
          </w:p>
        </w:tc>
        <w:tc>
          <w:tcPr>
            <w:tcW w:type="dxa" w:w="6236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Целевой охват внедрения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Первая очередь — 5 % точек сети, 75 мастеров. При положительном результате первого квартала эксплуатации в течение следующих 9 месяцев система должна быть развернута на 100 % точек сети во всех регионах РФ.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Рост числа пользователей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Система должна обеспечивать рост числа пользователей без изменения архитектуры: мастера — с 75 до 1 500, менеджеры — с 25 до 500, зарегистрированные клиенты — с 50 000 до 1 000 000.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Рост одновременной нагрузки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Число одновременно работающих клиентов должно масштабироваться с 280 (200 зарегистрированных и 80 незарегистрированных) до 5 600 в штатном режиме и с 2 000 до 40 000 в пиковые периоды.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Способ масштабирования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Рост нагрузки должен покрываться горизонтальным масштабированием — добавлением узлов серверов приложений без изменения кода и без остановки эксплуатации.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Допустимая деградация производительности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При двадцатикратном росте нагрузки время отклика контролируемых операций (Exercise 03) не должно ухудшаться более чем на 20 % от установленных значений.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Сезонное (пиковое) масштабирование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В предпраздничные периоды потребность возрастает до 150 % и более от штатной загрузки; система должна выдерживать кратковременный трехкратный рост нагрузки относительно среднесуточной без деградации времени отклика.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Эластичность вычислительных ресурсов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Ресурсы должны выделяться и освобождаться автоматически при достижении 70 % утилизации процессора или оперативной памяти в течение 5 минут.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Подключение новой точки и нового региона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Подключение новой точки сети или нового региона должно выполняться настройкой справочников силами администратора, без доработки кода, за срок не более 1 рабочего дня.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Масштабирование хранилища данных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Объем данных должен расти со 150 000 визитов в год на первой очереди до 3 000 000 визитов в год по всей сети; база данных должна поддерживать секционирование по регионам и точкам обслуживания.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Масштабирование подсистемы информирования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Пропускная способность отправки напоминаний должна расти с 600 до 12 000 сообщений в сутки, в пиковые периоды — до 30 000 сообщений в сутки.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Подтверждение готовности к волне внедрения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Перед каждой волной внедрения должно проводиться нагрузочное тестирование с запасом не менее чем двукратным от прогнозной пиковой нагрузки волны.</w:t>
            </w:r>
          </w:p>
        </w:tc>
      </w:tr>
    </w:tbl>
    <w:p>
      <w:pPr>
        <w:spacing w:after="40"/>
      </w:pPr>
    </w:p>
    <w:p>
      <w:pPr>
        <w:pStyle w:val="Heading2"/>
      </w:pPr>
      <w:r>
        <w:t>1.2. Локализация</w:t>
      </w:r>
    </w:p>
    <w:p>
      <w:pPr>
        <w:spacing w:after="140"/>
      </w:pPr>
      <w:r>
        <w:rPr>
          <w:rFonts w:ascii="Arial" w:hAnsi="Arial"/>
          <w:b/>
          <w:i w:val="0"/>
          <w:sz w:val="21"/>
        </w:rPr>
        <w:t>Потребность в локализации: есть.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778"/>
        <w:gridCol w:w="6236"/>
      </w:tblGrid>
      <w:tr>
        <w:trPr>
          <w:tblHeader w:val="true"/>
          <w:cantSplit/>
        </w:trPr>
        <w:tc>
          <w:tcPr>
            <w:tcW w:type="dxa" w:w="624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2778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Атрибут</w:t>
            </w:r>
          </w:p>
        </w:tc>
        <w:tc>
          <w:tcPr>
            <w:tcW w:type="dxa" w:w="6236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Потребность в локализации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Локализация необходима: система разворачивается во всех регионах РФ, охватывающих 11 часовых поясов.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Язык интерфейса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Основной язык интерфейса — русский. Тексты интерфейса, писем и напоминаний выносятся в ресурсные файлы; добавление нового языка выполняется без изменения программного кода.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Часовые пояса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Запись, расписание мастеров и напоминания отображаются и выполняются во времени точки обслуживания. При выборе клиентом другого региона время автоматически пересчитывается в местное время выбранной точки.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Хранение меток времени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Все метки времени хранятся в UTC; преобразование в местное время выполняется на уровне представления.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Формат даты и времени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Дата — ДД.ММ.ГГГГ, время — 24-часовой формат ЧЧ:ММ, первый день недели — понедельник.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Формат чисел и валюты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Разделитель дробной части — запятая, разделитель разрядов — неразрывный пробел, валюта — российский рубль с символом ₽ после суммы.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Формат телефонных номеров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Ввод и отображение номеров в формате +7 (XXX) XXX-XX-XX с проверкой корректности кода региона.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Производственный календарь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При формировании расписания мастеров должны учитываться государственные праздники РФ и региональные нерабочие дни субъекта, в котором расположена точка обслуживания.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Время отправки напоминаний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Напоминания отправляются с учетом местного времени клиента; отправка в интервале с 22:00 до 09:00 по местному времени клиента запрещена.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Кодировка и наборы символов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Кодировка UTF-8 во всех интерфейсах и хранилищах; корректная обработка кириллицы в именах, адресах и текстах отзывов.</w:t>
            </w:r>
          </w:p>
        </w:tc>
      </w:tr>
    </w:tbl>
    <w:p>
      <w:pPr>
        <w:spacing w:after="40"/>
      </w:pPr>
    </w:p>
    <w:p>
      <w:pPr>
        <w:pStyle w:val="Heading1"/>
      </w:pPr>
      <w:r>
        <w:t>2. Задача 2. Доставка заказов</w:t>
      </w:r>
    </w:p>
    <w:p>
      <w:pPr>
        <w:pStyle w:val="Heading2"/>
      </w:pPr>
      <w:r>
        <w:t>2.1. Масштабирование</w:t>
      </w:r>
    </w:p>
    <w:p>
      <w:pPr>
        <w:spacing w:after="140"/>
      </w:pPr>
      <w:r>
        <w:rPr>
          <w:rFonts w:ascii="Arial" w:hAnsi="Arial"/>
          <w:b/>
          <w:i w:val="0"/>
          <w:sz w:val="21"/>
        </w:rPr>
        <w:t>Потребность в масштабировании: есть.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778"/>
        <w:gridCol w:w="6236"/>
      </w:tblGrid>
      <w:tr>
        <w:trPr>
          <w:tblHeader w:val="true"/>
          <w:cantSplit/>
        </w:trPr>
        <w:tc>
          <w:tcPr>
            <w:tcW w:type="dxa" w:w="624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2778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Атрибут</w:t>
            </w:r>
          </w:p>
        </w:tc>
        <w:tc>
          <w:tcPr>
            <w:tcW w:type="dxa" w:w="6236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Целевой охват внедрения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Первый этап — 1–2 города, 500 курьеров, 3 000 заказов в сутки. Горизонт 12 месяцев — 10 городов, 5 000 курьеров, 30 000 заказов в сутки (десятикратный рост).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Рост числа пользователей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Система должна обеспечивать рост числа пользователей без изменения архитектуры: курьеры — с 500 до 5 000, операторы — с 30 до 200, диспетчеры — с 10 до 60.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Рост одновременной нагрузки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Число одновременно работающих курьеров должно масштабироваться со 150 до 1 500 в штатном режиме и с 400 до 4 000 в пиковые периоды.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Способ масштабирования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Серверная часть должна масштабироваться горизонтально — добавлением узлов без остановки сервиса; узлы приложения не должны хранить состояние сессии.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Допустимая деградация производительности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При десятикратном росте нагрузки время отклика контролируемых операций (Exercise 03) не должно ухудшаться более чем на 20 % от установленных значений.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Внутридневная эластичность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Пиковая нагрузка в интервалах 11:00–14:00 и 18:00–21:00 превышает среднесуточную в 2,5 раза; ресурсы должны выделяться автоматически с опережением, по расписанию пиковых интервалов.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Подключение нового города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Подключение нового города должно выполняться настройкой справочников зон доставки и точек комплектации силами администратора, без доработки кода, за срок не более 2 рабочих дней.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Требования к мобильному приложению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Приложение курьера должно сохранять работоспособность на устройствах нижнего ценового сегмента (Android 9 и выше, iOS 14 и выше, оперативная память от 2 ГБ); объем передаваемых данных на один заказ — не более 200 КБ.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Масштабирование интеграции с бухгалтерией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Поток сообщений в бухгалтерию должен расти с 6 000 до 60 000 сообщений в сутки; обмен выполняется асинхронно через очередь с буфером не менее суточного объема.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Масштабирование хранилища данных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Хранилище должно вмещать данные о заказах за 3 года при 30 000 заказов в сутки; таблицы заказов секционируются по датам, данные старше 1 года переносятся в архивное хранилище.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Подтверждение готовности к выходу в новый город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Перед выходом в новый город должно проводиться нагрузочное тестирование с запасом не менее чем трехкратным от прогнозной пиковой нагрузки города.</w:t>
            </w:r>
          </w:p>
        </w:tc>
      </w:tr>
    </w:tbl>
    <w:p>
      <w:pPr>
        <w:spacing w:after="40"/>
      </w:pPr>
    </w:p>
    <w:p>
      <w:pPr>
        <w:pStyle w:val="Heading2"/>
      </w:pPr>
      <w:r>
        <w:t>2.2. Локализация</w:t>
      </w:r>
    </w:p>
    <w:p>
      <w:pPr>
        <w:spacing w:after="140"/>
      </w:pPr>
      <w:r>
        <w:rPr>
          <w:rFonts w:ascii="Arial" w:hAnsi="Arial"/>
          <w:b/>
          <w:i w:val="0"/>
          <w:sz w:val="21"/>
        </w:rPr>
        <w:t>Потребность в локализации: есть, в ограниченном объеме на первом этапе.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778"/>
        <w:gridCol w:w="6236"/>
      </w:tblGrid>
      <w:tr>
        <w:trPr>
          <w:tblHeader w:val="true"/>
          <w:cantSplit/>
        </w:trPr>
        <w:tc>
          <w:tcPr>
            <w:tcW w:type="dxa" w:w="624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2778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Атрибут</w:t>
            </w:r>
          </w:p>
        </w:tc>
        <w:tc>
          <w:tcPr>
            <w:tcW w:type="dxa" w:w="6236"/>
            <w:vAlign w:val="center"/>
            <w:shd w:val="clear" w:color="auto" w:fill="D9E1F2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Потребность в локализации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Локализация необходима в ограниченном объеме на первом этапе (один город, один язык) и обязательна к учету в архитектуре — при выходе в другие города и за пределы РФ.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Язык интерфейса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Основной язык интерфейса мобильного приложения и рабочих мест — русский. Тексты интерфейса выносятся в ресурсные файлы; добавление языка выполняется без пересборки серверной части.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Определение языка в мобильном приложении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Приложение курьера наследует язык и региональные настройки операционной системы устройства с возможностью ручного переопределения в профиле.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Часовые пояса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Сроки комплектации и доставки отображаются в местном времени города заказа; при работе в нескольких городах курьер и диспетчер видят время того города, к которому относится заказ.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Хранение меток времени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Все метки времени, включая время офлайн-отметок курьера, хранятся в UTC; преобразование в местное время выполняется на уровне представления.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Формат даты и времени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Дата — ДД.ММ.ГГГГ, время — 24-часовой формат ЧЧ:ММ, первый день недели — понедельник.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Формат чисел, валюты и единиц измерения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Разделитель дробной части — запятая, валюта — российский рубль (₽), масса — килограммы, расстояние — километры.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Формат адресов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Адреса точек комплектации и доставки вводятся и хранятся в структурированном виде по справочнику ФИАС; свободный комментарий к адресу хранится отдельным полем.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Кодировка и наборы символов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Кодировка UTF-8 во всех интерфейсах и хранилищах; корректная обработка кириллицы и латиницы в адресах, именах и комментариях к заказу.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778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Перспектива расширения</w:t>
            </w:r>
          </w:p>
        </w:tc>
        <w:tc>
          <w:tcPr>
            <w:tcW w:type="dxa" w:w="6236"/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sz w:val="17"/>
              </w:rPr>
              <w:t>При выходе за пределы РФ должны поддерживаться дополнительный язык интерфейса, местная валюта и национальный формат адреса и телефонного номера; требование учитывается в архитектуре на первом этапе.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