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ATLAS</w:t>
      </w:r>
    </w:p>
    <w:p>
      <w:pPr>
        <w:pStyle w:val="Subtitle"/>
      </w:pPr>
      <w:r>
        <w:t xml:space="preserve">A Mathematical Framework for Universal Computation</w:t>
      </w:r>
    </w:p>
    <w:p>
      <w:pPr>
        <w:spacing w:before="400" w:after="200"/>
        <w:jc w:val="center"/>
      </w:pPr>
      <w:r>
        <w:rPr>
          <w:color w:val="666666"/>
          <w:sz w:val="22"/>
          <w:szCs w:val="22"/>
        </w:rPr>
        <w:t xml:space="preserve">Connecting Finite Groups, Exceptional Structures,</w:t>
      </w:r>
    </w:p>
    <w:p>
      <w:pPr>
        <w:spacing w:after="800"/>
        <w:jc w:val="center"/>
      </w:pPr>
      <w:r>
        <w:rPr>
          <w:color w:val="666666"/>
          <w:sz w:val="22"/>
          <w:szCs w:val="22"/>
        </w:rPr>
        <w:t xml:space="preserve">and the Deep Architecture of Information</w:t>
      </w:r>
    </w:p>
    <w:p>
      <w:pPr>
        <w:spacing w:before="1200"/>
        <w:jc w:val="center"/>
      </w:pPr>
      <w:r>
        <w:rPr>
          <w:sz w:val="24"/>
          <w:szCs w:val="24"/>
        </w:rPr>
        <w:t xml:space="preserve">UOR Foundation</w:t>
      </w:r>
    </w:p>
    <w:p>
      <w:pPr>
        <w:spacing w:after="200"/>
        <w:jc w:val="center"/>
      </w:pPr>
      <w:r>
        <w:rPr>
          <w:color w:val="888888"/>
          <w:sz w:val="22"/>
          <w:szCs w:val="22"/>
        </w:rPr>
        <w:t xml:space="preserve">December 2025</w:t>
      </w:r>
    </w:p>
    <w:p>
      <w:r>
        <w:br w:type="page"/>
      </w:r>
    </w:p>
    <w:p>
      <w:pPr>
        <w:pStyle w:val="Heading1"/>
      </w:pPr>
      <w:r>
        <w:t xml:space="preserve">Part I: What is Atlas?</w:t>
      </w:r>
    </w:p>
    <w:p>
      <w:pPr>
        <w:spacing w:after="200"/>
      </w:pPr>
      <w:r>
        <w:t xml:space="preserve">There's a moment in mathematics when you realize that certain structures aren't inventions—they're discoveries. The number π wasn't designed; it was waiting to be found, encoded in every circle that ever existed or ever will exist. Prime numbers weren't created by humans; they're woven into the fabric of arithmetic itself.</w:t>
      </w:r>
    </w:p>
    <w:p>
      <w:pPr>
        <w:spacing w:after="200"/>
      </w:pPr>
      <w:r>
        <w:t xml:space="preserve">Atlas is one of these structures.</w:t>
      </w:r>
    </w:p>
    <w:p>
      <w:pPr>
        <w:spacing w:after="200"/>
      </w:pPr>
      <w:r>
        <w:t xml:space="preserve">At its core, Atlas is a computational substrate—a mathematical foundation for representing and transforming information. But calling it merely "computational" undersells what we've discovered. Atlas is a projection of the deepest symmetries in mathematics onto a finite, implementable form. It connects the Monster group (the largest sporadic finite simple group) to the E</w:t>
      </w:r>
      <w:r>
        <w:rPr>
          <w:i/>
          <w:iCs/>
        </w:rPr>
        <w:t xml:space="preserve">₈</w:t>
      </w:r>
      <w:r>
        <w:t xml:space="preserve"> Lie algebra (the largest exceptional Lie algebra) through a chain of constructions: E</w:t>
      </w:r>
      <w:r>
        <w:rPr>
          <w:i/>
          <w:iCs/>
        </w:rPr>
        <w:t xml:space="preserve">₈</w:t>
      </w:r>
      <w:r>
        <w:t xml:space="preserve"> lattices combine to form the Leech lattice, and the Leech lattice's automorphism group yields the Monster through the Griess construction. These connections are theorems, not analogies.</w:t>
      </w:r>
    </w:p>
    <w:p>
      <w:pPr>
        <w:spacing w:after="200"/>
      </w:pPr>
      <w:r>
        <w:t xml:space="preserve">This document is an attempt to explain what Atlas is, why it matters, and what it tells us about the hidden architecture of computation and reality.</w:t>
      </w:r>
    </w:p>
    <w:p>
      <w:pPr>
        <w:pStyle w:val="Heading2"/>
      </w:pPr>
      <w:r>
        <w:t xml:space="preserve">The Origin Story</w:t>
      </w:r>
    </w:p>
    <w:p>
      <w:pPr>
        <w:spacing w:after="200"/>
      </w:pPr>
      <w:r>
        <w:t xml:space="preserve">Atlas didn't emerge from trying to build the ultimate computing platform. It emerged from trying to understand information itself.</w:t>
      </w:r>
    </w:p>
    <w:p>
      <w:pPr>
        <w:spacing w:after="200"/>
      </w:pPr>
      <w:r>
        <w:t xml:space="preserve">The question was simple: if you wanted to represent </w:t>
      </w:r>
      <w:r>
        <w:rPr>
          <w:i/>
          <w:iCs/>
        </w:rPr>
        <w:t xml:space="preserve">any</w:t>
      </w:r>
      <w:r>
        <w:t xml:space="preserve"> finite piece of information in a mathematically principled way—not just store it, but capture its structure, its symmetries, its relationships—what would that representation look like?</w:t>
      </w:r>
    </w:p>
    <w:p>
      <w:pPr>
        <w:spacing w:after="200"/>
      </w:pPr>
      <w:r>
        <w:t xml:space="preserve">The answer turned out to be: it would look like the Monster.</w:t>
      </w:r>
    </w:p>
    <w:p>
      <w:pPr>
        <w:spacing w:after="200"/>
      </w:pPr>
      <w:r>
        <w:t xml:space="preserve">The Monster group, discovered in the 1970s and constructed by Robert Griess in 1982, is an extraordinary mathematical object. With approximately 8 × 10</w:t>
      </w:r>
      <w:r>
        <w:rPr>
          <w:i/>
          <w:iCs/>
        </w:rPr>
        <w:t xml:space="preserve">⁵³</w:t>
      </w:r>
      <w:r>
        <w:t xml:space="preserve"> elements—more than the number of atoms in the observable universe—it is the largest of the 26 "sporadic" simple groups. These are finite groups that don't fit into the infinite families classified by the periodic table of group theory. They're exceptions, anomalies, one-offs. And the Monster is the king of exceptions.</w:t>
      </w:r>
    </w:p>
    <w:p>
      <w:pPr>
        <w:spacing w:after="200"/>
      </w:pPr>
      <w:r>
        <w:t xml:space="preserve">What makes the Monster remarkable isn't just its size. It's its universality. The Monster contains 20 of the other sporadic groups as "subquotients"—they're all woven into its fabric. It's an attractor in the space of exceptional symmetries. If you follow the logic of finite group structure far enough, you end up at the Monster.</w:t>
      </w:r>
    </w:p>
    <w:p>
      <w:pPr>
        <w:pStyle w:val="Heading2"/>
      </w:pPr>
      <w:r>
        <w:t xml:space="preserve">The Moonshine Connection</w:t>
      </w:r>
    </w:p>
    <w:p>
      <w:pPr>
        <w:spacing w:after="200"/>
      </w:pPr>
      <w:r>
        <w:t xml:space="preserve">In 1978, mathematician John McKay noticed something strange. He was looking at the j-function, a fundamental object in number theory that encodes the symmetries of elliptic curves. The j-function has a power series expansion:</w:t>
      </w:r>
    </w:p>
    <w:p>
      <w:pPr>
        <w:spacing w:after="200"/>
      </w:pPr>
      <w:r>
        <w:t xml:space="preserve">j(τ) = q</w:t>
      </w:r>
      <w:r>
        <w:rPr>
          <w:i/>
          <w:iCs/>
        </w:rPr>
        <w:t xml:space="preserve">⁻¹</w:t>
      </w:r>
      <w:r>
        <w:t xml:space="preserve"> + 744 + 196,884q + 21,493,760q</w:t>
      </w:r>
      <w:r>
        <w:rPr>
          <w:i/>
          <w:iCs/>
        </w:rPr>
        <w:t xml:space="preserve">²</w:t>
      </w:r>
      <w:r>
        <w:t xml:space="preserve"> + ...</w:t>
      </w:r>
    </w:p>
    <w:p>
      <w:pPr>
        <w:spacing w:after="200"/>
      </w:pPr>
      <w:r>
        <w:t xml:space="preserve">McKay noticed that 196,884 = 1 + 196,883. And 196,883 is the dimension of the smallest nontrivial representation of the Monster group.</w:t>
      </w:r>
    </w:p>
    <w:p>
      <w:pPr>
        <w:spacing w:after="200"/>
      </w:pPr>
      <w:r>
        <w:t xml:space="preserve">This seemed impossible. The j-function comes from complex analysis and number theory. The Monster comes from abstract algebra. Why should they know about each other?</w:t>
      </w:r>
    </w:p>
    <w:p>
      <w:pPr>
        <w:spacing w:after="200"/>
      </w:pPr>
      <w:r>
        <w:t xml:space="preserve">John Conway called it "moonshine"—the mathematical equivalent of folk tales, too strange to be true. But it </w:t>
      </w:r>
      <w:r>
        <w:rPr>
          <w:i/>
          <w:iCs/>
        </w:rPr>
        <w:t xml:space="preserve">was</w:t>
      </w:r>
      <w:r>
        <w:t xml:space="preserve"> true. Richard Borcherds proved the Moonshine Conjecture in 1992, showing that the Monster acts on a certain infinite-dimensional structure (a vertex operator algebra) whose graded dimensions are exactly the coefficients of the j-function. He won the Fields Medal for this work.</w:t>
      </w:r>
    </w:p>
    <w:p>
      <w:pPr>
        <w:spacing w:after="200"/>
      </w:pPr>
      <w:r>
        <w:t xml:space="preserve">Moonshine revealed that the Monster isn't just a large finite group. It's a shadow of something deeper—a structure that connects discrete symmetry (finite groups) to continuous symmetry (modular forms) through the geometry of string theory.</w:t>
      </w:r>
    </w:p>
    <w:p>
      <w:pPr>
        <w:spacing w:after="200"/>
      </w:pPr>
      <w:r>
        <w:t xml:space="preserve">Atlas was born from asking: what if we could compute </w:t>
      </w:r>
      <w:r>
        <w:rPr>
          <w:i/>
          <w:iCs/>
        </w:rPr>
        <w:t xml:space="preserve">inside</w:t>
      </w:r>
      <w:r>
        <w:t xml:space="preserve"> that structure?</w:t>
      </w:r>
    </w:p>
    <w:p>
      <w:r>
        <w:br w:type="page"/>
      </w:r>
    </w:p>
    <w:p>
      <w:pPr>
        <w:pStyle w:val="Heading1"/>
      </w:pPr>
      <w:r>
        <w:t xml:space="preserve">Part II: The Numbers That Speak</w:t>
      </w:r>
    </w:p>
    <w:p>
      <w:pPr>
        <w:spacing w:after="200"/>
      </w:pPr>
      <w:r>
        <w:t xml:space="preserve">Mathematics has a voice. Certain numbers appear again and again across different domains, like a melody that plays in multiple keys. Atlas is built from such numbers. They emerge necessarily from the constraints of finite group theory: once you require maximal symmetry in a simple group, the Monster's structure is determined; once the Monster exists, its representation dimensions, conjugacy class count, and character table follow from Schur's lemma and orthogonality relations. The numbers we'll encounter are outputs of these theorems, not inputs we chose.</w:t>
      </w:r>
    </w:p>
    <w:p>
      <w:pPr>
        <w:pStyle w:val="Heading2"/>
      </w:pPr>
      <w:r>
        <w:t xml:space="preserve">The Fundamental Constants</w:t>
      </w:r>
    </w:p>
    <w:p>
      <w:pPr>
        <w:pStyle w:val="Heading3"/>
      </w:pPr>
      <w:r>
        <w:t xml:space="preserve">96 — The Resonance Classes</w:t>
      </w:r>
    </w:p>
    <w:p>
      <w:pPr>
        <w:spacing w:after="200"/>
      </w:pPr>
      <w:r>
        <w:t xml:space="preserve">Atlas organizes information into 96 distinct "resonance classes." Why 96?</w:t>
      </w:r>
    </w:p>
    <w:p>
      <w:pPr>
        <w:spacing w:after="200"/>
      </w:pPr>
      <w:r>
        <w:t xml:space="preserve">96 = 2</w:t>
      </w:r>
      <w:r>
        <w:rPr>
          <w:i/>
          <w:iCs/>
        </w:rPr>
        <w:t xml:space="preserve">⁵</w:t>
      </w:r>
      <w:r>
        <w:t xml:space="preserve"> × 3 = 32 × 3</w:t>
      </w:r>
    </w:p>
    <w:p>
      <w:pPr>
        <w:spacing w:after="200"/>
      </w:pPr>
      <w:r>
        <w:t xml:space="preserve">The factor of 32 connects to the 32 orbits under the automorphism group. The factor of 3 traces back to something deeper: the E</w:t>
      </w:r>
      <w:r>
        <w:rPr>
          <w:i/>
          <w:iCs/>
        </w:rPr>
        <w:t xml:space="preserve">₈</w:t>
      </w:r>
      <w:r>
        <w:t xml:space="preserve"> × E</w:t>
      </w:r>
      <w:r>
        <w:rPr>
          <w:i/>
          <w:iCs/>
        </w:rPr>
        <w:t xml:space="preserve">₈</w:t>
      </w:r>
      <w:r>
        <w:t xml:space="preserve"> × E</w:t>
      </w:r>
      <w:r>
        <w:rPr>
          <w:i/>
          <w:iCs/>
        </w:rPr>
        <w:t xml:space="preserve">₈</w:t>
      </w:r>
      <w:r>
        <w:t xml:space="preserve"> structure of the Leech lattice, the 24-dimensional lattice from which the Monster is constructed.</w:t>
      </w:r>
    </w:p>
    <w:p>
      <w:pPr>
        <w:spacing w:after="200"/>
      </w:pPr>
      <w:r>
        <w:t xml:space="preserve">Each resonance class represents a distinct mode of information encoding—a different "color" in the spectrum of possible representations. The 96 classes form a semiring with addition (⊕) and multiplication (⊗), allowing information to combine algebraically.</w:t>
      </w:r>
    </w:p>
    <w:p>
      <w:pPr>
        <w:pStyle w:val="Heading3"/>
      </w:pPr>
      <w:r>
        <w:t xml:space="preserve">196,884 — The Griess Dimension</w:t>
      </w:r>
    </w:p>
    <w:p>
      <w:pPr>
        <w:spacing w:after="200"/>
      </w:pPr>
      <w:r>
        <w:t xml:space="preserve">The Griess algebra is a 196,884-dimensional space that carries the Monster's action. This is Atlas's ambient space—the vast room in which all computation takes place.</w:t>
      </w:r>
    </w:p>
    <w:p>
      <w:pPr>
        <w:spacing w:after="200"/>
      </w:pPr>
      <w:r>
        <w:t xml:space="preserve">196,884 = 1 + 196,883</w:t>
      </w:r>
    </w:p>
    <w:p>
      <w:pPr>
        <w:spacing w:after="200"/>
      </w:pPr>
      <w:r>
        <w:t xml:space="preserve">The 1 is the trivial representation (a single dimension that doesn't change under any Monster transformation). The 196,883 is the smallest nontrivial representation. Together, they form the stage on which Monster symmetry acts.</w:t>
      </w:r>
    </w:p>
    <w:p>
      <w:pPr>
        <w:spacing w:after="200"/>
      </w:pPr>
      <w:r>
        <w:t xml:space="preserve">But there's more. 196,883 = 47 × 59 × 71—the product of three consecutive primes. And 47, 59, 71 are the three </w:t>
      </w:r>
      <w:r>
        <w:rPr>
          <w:i/>
          <w:iCs/>
        </w:rPr>
        <w:t xml:space="preserve">largest</w:t>
      </w:r>
      <w:r>
        <w:t xml:space="preserve"> "supersingular" primes (primes p for which the Monster's representation theory has special properties). Why these specific primes? Supersingular primes are those p where every supersingular elliptic curve in characteristic p has j-invariant in the prime field 𝔽</w:t>
      </w:r>
      <w:r>
        <w:rPr>
          <w:i/>
          <w:iCs/>
        </w:rPr>
        <w:t xml:space="preserve">p</w:t>
      </w:r>
      <w:r>
        <w:t xml:space="preserve">. The Monster's order is divisible by exactly the supersingular primes, and its smallest nontrivial representation dimension turns out to factor as the product of the three largest. This follows from the structure of the Griess algebra's decomposition under Monster action—the 196,883-dimensional space breaks into orbits whose sizes are constrained by the prime factorization of the group order.</w:t>
      </w:r>
    </w:p>
    <w:p>
      <w:pPr>
        <w:pStyle w:val="Heading3"/>
      </w:pPr>
      <w:r>
        <w:t xml:space="preserve">744 — The E₈ Shadow</w:t>
      </w:r>
    </w:p>
    <w:p>
      <w:pPr>
        <w:spacing w:after="200"/>
      </w:pPr>
      <w:r>
        <w:t xml:space="preserve">The constant term 744 in the j-function is "silent" with respect to Moonshine—it doesn't decompose into Monster representations the way the other coefficients do. For years, it seemed like an accident.</w:t>
      </w:r>
    </w:p>
    <w:p>
      <w:pPr>
        <w:spacing w:after="200"/>
      </w:pPr>
      <w:r>
        <w:t xml:space="preserve">But: 744 = 3 × 248</w:t>
      </w:r>
    </w:p>
    <w:p>
      <w:pPr>
        <w:spacing w:after="200"/>
      </w:pPr>
      <w:r>
        <w:t xml:space="preserve">And 248 is the dimension of the E</w:t>
      </w:r>
      <w:r>
        <w:rPr>
          <w:i/>
          <w:iCs/>
        </w:rPr>
        <w:t xml:space="preserve">₈</w:t>
      </w:r>
      <w:r>
        <w:t xml:space="preserve"> Lie algebra—the largest exceptional Lie algebra, the endpoint of the classification of simple Lie algebras.</w:t>
      </w:r>
    </w:p>
    <w:p>
      <w:pPr>
        <w:spacing w:after="200"/>
      </w:pPr>
      <w:r>
        <w:t xml:space="preserve">The factorization 744 = 3 × 248 reveals the source of this constant. The number 248 is the dimension of E</w:t>
      </w:r>
      <w:r>
        <w:rPr>
          <w:i/>
          <w:iCs/>
        </w:rPr>
        <w:t xml:space="preserve">₈</w:t>
      </w:r>
      <w:r>
        <w:t xml:space="preserve">, the largest exceptional Lie algebra—and this is provable from the classification theorem for simple Lie algebras. The factor of 3 traces to the Turyn construction of the Leech lattice from three copies of the E</w:t>
      </w:r>
      <w:r>
        <w:rPr>
          <w:i/>
          <w:iCs/>
        </w:rPr>
        <w:t xml:space="preserve">₈</w:t>
      </w:r>
      <w:r>
        <w:t xml:space="preserve"> lattice: Λ</w:t>
      </w:r>
      <w:r>
        <w:rPr>
          <w:i/>
          <w:iCs/>
        </w:rPr>
        <w:t xml:space="preserve">₂₄</w:t>
      </w:r>
      <w:r>
        <w:t xml:space="preserve"> ≅ E</w:t>
      </w:r>
      <w:r>
        <w:rPr>
          <w:i/>
          <w:iCs/>
        </w:rPr>
        <w:t xml:space="preserve">₈</w:t>
      </w:r>
      <w:r>
        <w:t xml:space="preserve"> × E</w:t>
      </w:r>
      <w:r>
        <w:rPr>
          <w:i/>
          <w:iCs/>
        </w:rPr>
        <w:t xml:space="preserve">₈</w:t>
      </w:r>
      <w:r>
        <w:t xml:space="preserve"> × E</w:t>
      </w:r>
      <w:r>
        <w:rPr>
          <w:i/>
          <w:iCs/>
        </w:rPr>
        <w:t xml:space="preserve">₈</w:t>
      </w:r>
      <w:r>
        <w:t xml:space="preserve"> (mod a sublattice defined by the ternary Golay code). Since the Monster is constructed from the Leech lattice, and the j-function's constant term encodes information about the underlying lattice structure, 744 = 3 × 248 records the three E</w:t>
      </w:r>
      <w:r>
        <w:rPr>
          <w:i/>
          <w:iCs/>
        </w:rPr>
        <w:t xml:space="preserve">₈</w:t>
      </w:r>
      <w:r>
        <w:t xml:space="preserve"> copies that built the Leech lattice that built the Monster. The j-function serves as an interface where discrete symmetry (Monster, via q-expansion coefficients) and continuous symmetry (E</w:t>
      </w:r>
      <w:r>
        <w:rPr>
          <w:i/>
          <w:iCs/>
        </w:rPr>
        <w:t xml:space="preserve">₈</w:t>
      </w:r>
      <w:r>
        <w:t xml:space="preserve">, via the constant term) both leave their signatures.</w:t>
      </w:r>
    </w:p>
    <w:p>
      <w:pPr>
        <w:spacing w:after="200"/>
      </w:pPr>
      <w:r>
        <w:t xml:space="preserve">Additionally, the factor of 3 connects to triality—the exceptional order-3 outer automorphism of the D</w:t>
      </w:r>
      <w:r>
        <w:rPr>
          <w:i/>
          <w:iCs/>
        </w:rPr>
        <w:t xml:space="preserve">₄</w:t>
      </w:r>
      <w:r>
        <w:t xml:space="preserve"> Dynkin diagram (equivalently, of Spin(8)). Triality permutes the vector, spinor, and conjugate spinor representations of Spin(8). Since D</w:t>
      </w:r>
      <w:r>
        <w:rPr>
          <w:i/>
          <w:iCs/>
        </w:rPr>
        <w:t xml:space="preserve">₄</w:t>
      </w:r>
      <w:r>
        <w:t xml:space="preserve"> embeds in E</w:t>
      </w:r>
      <w:r>
        <w:rPr>
          <w:i/>
          <w:iCs/>
        </w:rPr>
        <w:t xml:space="preserve">₈</w:t>
      </w:r>
      <w:r>
        <w:t xml:space="preserve">, and the Leech lattice construction uses three E</w:t>
      </w:r>
      <w:r>
        <w:rPr>
          <w:i/>
          <w:iCs/>
        </w:rPr>
        <w:t xml:space="preserve">₈</w:t>
      </w:r>
      <w:r>
        <w:t xml:space="preserve"> copies related by the ternary Golay code's symmetry, the number 3 appears both algebraically (triality) and combinatorially (three lattice copies).</w:t>
      </w:r>
    </w:p>
    <w:p>
      <w:pPr>
        <w:pStyle w:val="Heading3"/>
      </w:pPr>
      <w:r>
        <w:t xml:space="preserve">513 — The Orbit Count</w:t>
      </w:r>
    </w:p>
    <w:p>
      <w:pPr>
        <w:spacing w:after="200"/>
      </w:pPr>
      <w:r>
        <w:t xml:space="preserve">The automorphism group Aut(G) acts on Atlas's boundary cells, partitioning them into 513 orbits.</w:t>
      </w:r>
    </w:p>
    <w:p>
      <w:pPr>
        <w:spacing w:after="200"/>
      </w:pPr>
      <w:r>
        <w:t xml:space="preserve">513 = 27 × 19 = 3</w:t>
      </w:r>
      <w:r>
        <w:rPr>
          <w:i/>
          <w:iCs/>
        </w:rPr>
        <w:t xml:space="preserve">³</w:t>
      </w:r>
      <w:r>
        <w:t xml:space="preserve"> × 19</w:t>
      </w:r>
    </w:p>
    <w:p>
      <w:pPr>
        <w:spacing w:after="200"/>
      </w:pPr>
      <w:r>
        <w:t xml:space="preserve">The 27 connects to the exceptional Jordan algebra J</w:t>
      </w:r>
      <w:r>
        <w:rPr>
          <w:i/>
          <w:iCs/>
        </w:rPr>
        <w:t xml:space="preserve">₃</w:t>
      </w:r>
      <w:r>
        <w:t xml:space="preserve">(𝕆)—the 27-dimensional algebra of 3×3 Hermitian matrices over the octonions. This algebra is central to the construction of exceptional Lie groups.</w:t>
      </w:r>
    </w:p>
    <w:p>
      <w:pPr>
        <w:spacing w:after="200"/>
      </w:pPr>
      <w:r>
        <w:t xml:space="preserve">The 19 is a prime that appears in the orders of three of the six "pariah" sporadic groups (groups that don't embed in the Monster). We'll return to the pariahs later—they're essential to understanding what lies beyond Atlas's boundaries.</w:t>
      </w:r>
    </w:p>
    <w:p>
      <w:pPr>
        <w:pStyle w:val="Heading3"/>
      </w:pPr>
      <w:r>
        <w:t xml:space="preserve">12,288 — The Boundary</w:t>
      </w:r>
    </w:p>
    <w:p>
      <w:pPr>
        <w:spacing w:after="200"/>
      </w:pPr>
      <w:r>
        <w:t xml:space="preserve">Atlas operates on a boundary complex of 12,288 cells.</w:t>
      </w:r>
    </w:p>
    <w:p>
      <w:pPr>
        <w:spacing w:after="200"/>
      </w:pPr>
      <w:r>
        <w:t xml:space="preserve">12,288 = 2</w:t>
      </w:r>
      <w:r>
        <w:rPr>
          <w:i/>
          <w:iCs/>
        </w:rPr>
        <w:t xml:space="preserve">¹²</w:t>
      </w:r>
      <w:r>
        <w:t xml:space="preserve"> × 3</w:t>
      </w:r>
    </w:p>
    <w:p>
      <w:pPr>
        <w:spacing w:after="200"/>
      </w:pPr>
      <w:r>
        <w:t xml:space="preserve">The power of 2 suggests binary structure; the 3 echoes the three-fold symmetry that pervades exceptional mathematics. This boundary is where approximate external data (floating-point numbers, real-world measurements) meets exact internal computation (cyclotomic arithmetic, algebraic perfection).</w:t>
      </w:r>
    </w:p>
    <w:p>
      <w:r>
        <w:br w:type="page"/>
      </w:r>
    </w:p>
    <w:p>
      <w:pPr>
        <w:pStyle w:val="Heading1"/>
      </w:pPr>
      <w:r>
        <w:t xml:space="preserve">Part III: The Four Pillars</w:t>
      </w:r>
    </w:p>
    <w:p>
      <w:pPr>
        <w:spacing w:after="200"/>
      </w:pPr>
      <w:r>
        <w:t xml:space="preserve">Atlas rests on four foundational structures, each encoding a different aspect of its computational power:</w:t>
      </w:r>
    </w:p>
    <w:p>
      <w:pPr>
        <w:pStyle w:val="Heading2"/>
      </w:pPr>
      <w:r>
        <w:t xml:space="preserve">Pillar 1: Resonance (ℤ₉₆)</w:t>
      </w:r>
    </w:p>
    <w:p>
      <w:pPr>
        <w:spacing w:after="200"/>
      </w:pPr>
      <w:r>
        <w:t xml:space="preserve">The 96 resonance classes form a finite semiring—a set with addition and multiplication that behaves almost like a ring but lacks additive inverses. Every byte maps to a resonance class; every computation tracks through resonance space.</w:t>
      </w:r>
    </w:p>
    <w:p>
      <w:pPr>
        <w:spacing w:after="200"/>
      </w:pPr>
      <w:r>
        <w:t xml:space="preserve">The resonance structure has a </w:t>
      </w:r>
      <w:r>
        <w:rPr>
          <w:i/>
          <w:iCs/>
        </w:rPr>
        <w:t xml:space="preserve">mirror map</w:t>
      </w:r>
      <w:r>
        <w:t xml:space="preserve">—an involution that pairs complementary classes:</w:t>
      </w:r>
    </w:p>
    <w:p>
      <w:pPr>
        <w:spacing w:after="200"/>
      </w:pPr>
      <w:r>
        <w:t xml:space="preserve">mirror(r) = 96 - r (mod 96)</w:t>
      </w:r>
    </w:p>
    <w:p>
      <w:pPr>
        <w:spacing w:after="200"/>
      </w:pPr>
      <w:r>
        <w:t xml:space="preserve">This mirror has exactly two fixed points: 0 and 48. Class 0 is the additive identity (nothing). Class 48 is the half-period—perfect opposition. Everything else comes in mirror pairs.</w:t>
      </w:r>
    </w:p>
    <w:p>
      <w:pPr>
        <w:spacing w:after="200"/>
      </w:pPr>
      <w:r>
        <w:t xml:space="preserve">Why 96? Because the representation theory of the Monster, filtered through modular arithmetic, produces exactly this many distinct "colors." The resonance spectrum is the Monster's fingerprint on finite computation.</w:t>
      </w:r>
    </w:p>
    <w:p>
      <w:pPr>
        <w:pStyle w:val="Heading2"/>
      </w:pPr>
      <w:r>
        <w:t xml:space="preserve">Pillar 2: Character (ℤ₁₉₄)</w:t>
      </w:r>
    </w:p>
    <w:p>
      <w:pPr>
        <w:spacing w:after="200"/>
      </w:pPr>
      <w:r>
        <w:t xml:space="preserve">The Monster has exactly 194 conjugacy classes—194 fundamentally different ways its elements can be related. Correspondingly, it has 194 irreducible representations, forming a 194×194 character table.</w:t>
      </w:r>
    </w:p>
    <w:p>
      <w:pPr>
        <w:spacing w:after="200"/>
      </w:pPr>
      <w:r>
        <w:t xml:space="preserve">This table is a kind of Rosetta Stone. Each entry is a cyclotomic integer (a sum of roots of unity), and the table satisfies deep orthogonality relations that make decomposition exact. Character values measure how Monster transformations act on information.</w:t>
      </w:r>
    </w:p>
    <w:p>
      <w:pPr>
        <w:spacing w:after="200"/>
      </w:pPr>
      <w:r>
        <w:t xml:space="preserve">The exactness is crucial: cyclotomic arithmetic is algebraically closed. There's no approximation error in the interior of Atlas computation. Approximation only enters at the boundaries, when translating to and from external representations.</w:t>
      </w:r>
    </w:p>
    <w:p>
      <w:pPr>
        <w:pStyle w:val="Heading2"/>
      </w:pPr>
      <w:r>
        <w:t xml:space="preserve">Pillar 3: Orbit (ℤ₃₂)</w:t>
      </w:r>
    </w:p>
    <w:p>
      <w:pPr>
        <w:spacing w:after="200"/>
      </w:pPr>
      <w:r>
        <w:t xml:space="preserve">The 2,048 automorphisms of Atlas's internal structure partition the 96 resonance classes into 32 disjoint orbits. Each orbit is a natural unit of parallelism—elements within an orbit are related by symmetry, but different orbits are genuinely independent.</w:t>
      </w:r>
    </w:p>
    <w:p>
      <w:pPr>
        <w:spacing w:after="200"/>
      </w:pPr>
      <w:r>
        <w:t xml:space="preserve">This yields 32 independent computational streams that require no locks, no coordination, no race conditions. The parallelism emerges from a theorem: when a group G acts on a set S, the set partitions into disjoint orbits, and elements in different orbits cannot be related by any group element. Since the 2,048 automorphisms form a group acting on the 96 resonance classes, group theory guarantees the resulting 32 orbits are strictly non-overlapping. No synchronization is needed because the mathematics proves no interference is possible.</w:t>
      </w:r>
    </w:p>
    <w:p>
      <w:pPr>
        <w:pStyle w:val="Heading2"/>
      </w:pPr>
      <w:r>
        <w:t xml:space="preserve">Pillar 4: Griess (ℝ¹⁹⁶⁸⁸⁴)</w:t>
      </w:r>
    </w:p>
    <w:p>
      <w:pPr>
        <w:spacing w:after="200"/>
      </w:pPr>
      <w:r>
        <w:t xml:space="preserve">The Griess algebra is the 196,884-dimensional space on which the Monster acts. It's a commutative non-associative algebra with an invariant inner product—a geometric structure that carries the full weight of Monster symmetry.</w:t>
      </w:r>
    </w:p>
    <w:p>
      <w:pPr>
        <w:spacing w:after="200"/>
      </w:pPr>
      <w:r>
        <w:t xml:space="preserve">The Griess algebra is Atlas's "embedding space"—the high-dimensional room in which all the lower-dimensional structures (resonance, character, orbit) are realized. When we lift information from ℤ</w:t>
      </w:r>
      <w:r>
        <w:rPr>
          <w:i/>
          <w:iCs/>
        </w:rPr>
        <w:t xml:space="preserve">₉₆</w:t>
      </w:r>
      <w:r>
        <w:t xml:space="preserve"> to Griess space, we gain access to the full power of Monster representation theory. When we project back down, we get computationally tractable results.</w:t>
      </w:r>
    </w:p>
    <w:p>
      <w:r>
        <w:br w:type="page"/>
      </w:r>
    </w:p>
    <w:p>
      <w:pPr>
        <w:pStyle w:val="Heading1"/>
      </w:pPr>
      <w:r>
        <w:t xml:space="preserve">Part IV: The Operators</w:t>
      </w:r>
    </w:p>
    <w:p>
      <w:pPr>
        <w:spacing w:after="200"/>
      </w:pPr>
      <w:r>
        <w:t xml:space="preserve">Atlas computation proceeds through three phases, mediated by operators that form an </w:t>
      </w:r>
      <w:r>
        <w:rPr>
          <w:i/>
          <w:iCs/>
        </w:rPr>
        <w:t xml:space="preserve">adjunction chain</w:t>
      </w:r>
      <w:r>
        <w:t xml:space="preserve">—a sequence of mathematically optimal transformations:</w:t>
      </w:r>
    </w:p>
    <w:p>
      <w:pPr>
        <w:pStyle w:val="Heading2"/>
      </w:pPr>
      <w:r>
        <w:t xml:space="preserve">The Three-Phase Cycle</w:t>
      </w:r>
    </w:p>
    <w:p>
      <w:pPr>
        <w:spacing w:after="200"/>
      </w:pPr>
      <w:r>
        <w:rPr>
          <w:b/>
          <w:bCs/>
        </w:rPr>
        <w:t xml:space="preserve">Phase 1: Embedding (π)</w:t>
      </w:r>
      <w:r>
        <w:t xml:space="preserve"> — External data enters through the embedding operator π, which maps approximate floating-point values to exact positions on Atlas's internal torus. This is where quantization error is introduced—the cost of crossing from the messy outside world to the pristine inside.</w:t>
      </w:r>
    </w:p>
    <w:p>
      <w:pPr>
        <w:spacing w:after="200"/>
      </w:pPr>
      <w:r>
        <w:rPr>
          <w:b/>
          <w:bCs/>
        </w:rPr>
        <w:t xml:space="preserve">Phase 2: Computation (F)</w:t>
      </w:r>
      <w:r>
        <w:t xml:space="preserve"> — Inside the torus, computation proceeds through cyclotomic arithmetic. All character values, all representation-theoretic operations, are exact. This is computation in the domain of algebraic integers, where nothing is lost to rounding.</w:t>
      </w:r>
    </w:p>
    <w:p>
      <w:pPr>
        <w:spacing w:after="200"/>
      </w:pPr>
      <w:r>
        <w:rPr>
          <w:b/>
          <w:bCs/>
        </w:rPr>
        <w:t xml:space="preserve">Phase 3: Lifting (λ)</w:t>
      </w:r>
      <w:r>
        <w:t xml:space="preserve"> — Results exit through the lifting operator λ, which maps exact internal values back to external floating-point representations. This is where approximation error re-enters—the cost of translating perfection into implementable outputs.</w:t>
      </w:r>
    </w:p>
    <w:p>
      <w:pPr>
        <w:spacing w:after="200"/>
      </w:pPr>
      <w:r>
        <w:t xml:space="preserve">The key insight: </w:t>
      </w:r>
      <w:r>
        <w:rPr>
          <w:b/>
          <w:bCs/>
        </w:rPr>
        <w:t xml:space="preserve">approximation lives only at the boundaries</w:t>
      </w:r>
      <w:r>
        <w:t xml:space="preserve">. The interior is exact. Here's why: character values are traces of representation matrices, traces are sums of eigenvalues, and eigenvalues of finite-order group elements are roots of unity (since if g</w:t>
      </w:r>
      <w:r>
        <w:rPr>
          <w:i/>
          <w:iCs/>
        </w:rPr>
        <w:t xml:space="preserve">ⁿ</w:t>
      </w:r>
      <w:r>
        <w:t xml:space="preserve"> = 1, then the eigenvalues λ satisfy λ</w:t>
      </w:r>
      <w:r>
        <w:rPr>
          <w:i/>
          <w:iCs/>
        </w:rPr>
        <w:t xml:space="preserve">ⁿ</w:t>
      </w:r>
      <w:r>
        <w:t xml:space="preserve"> = 1). Sums and products of roots of unity are cyclotomic integers, which form a ring closed under the operations we need. Cyclotomic arithmetic never requires truncation or rounding—every intermediate result is exactly representable. Approximation enters only when we translate between cyclotomic integers and floating-point numbers at the system boundary.</w:t>
      </w:r>
    </w:p>
    <w:p>
      <w:pPr>
        <w:pStyle w:val="Heading2"/>
      </w:pPr>
      <w:r>
        <w:t xml:space="preserve">The Adjunction Chain</w:t>
      </w:r>
    </w:p>
    <w:p>
      <w:pPr>
        <w:spacing w:after="200"/>
      </w:pPr>
      <w:r>
        <w:t xml:space="preserve">The operators L (Lift to Griess), R (Resonate back to ℤ</w:t>
      </w:r>
      <w:r>
        <w:rPr>
          <w:i/>
          <w:iCs/>
        </w:rPr>
        <w:t xml:space="preserve">₉₆</w:t>
      </w:r>
      <w:r>
        <w:t xml:space="preserve">), and κ (Crush to Boolean) form an adjunction:</w:t>
      </w:r>
    </w:p>
    <w:p>
      <w:pPr>
        <w:spacing w:after="200"/>
      </w:pPr>
      <w:r>
        <w:t xml:space="preserve">L ⊣ R ⊣ κ</w:t>
      </w:r>
    </w:p>
    <w:p>
      <w:pPr>
        <w:spacing w:after="200"/>
      </w:pPr>
      <w:r>
        <w:t xml:space="preserve">Each operator is the </w:t>
      </w:r>
      <w:r>
        <w:rPr>
          <w:i/>
          <w:iCs/>
        </w:rPr>
        <w:t xml:space="preserve">optimal</w:t>
      </w:r>
      <w:r>
        <w:t xml:space="preserve"> choice given the structures involved. L is the best way to embed resonance in Griess space; R is the best way to project back; κ is the best way to collapse to a decision. "Best" here has a precise mathematical meaning: each operator is uniquely determined by universal properties.</w:t>
      </w:r>
    </w:p>
    <w:p>
      <w:pPr>
        <w:spacing w:after="200"/>
      </w:pPr>
      <w:r>
        <w:t xml:space="preserve">The κ operator crushes the full resonance spectrum to Boolean—a binary decision, true or false. This is how Atlas makes choices, determines "conservativity" (budget preservation), and interfaces with external control flow.</w:t>
      </w:r>
    </w:p>
    <w:p>
      <w:r>
        <w:br w:type="page"/>
      </w:r>
    </w:p>
    <w:p>
      <w:pPr>
        <w:pStyle w:val="Heading1"/>
      </w:pPr>
      <w:r>
        <w:t xml:space="preserve">Part V: The Seven Modalities</w:t>
      </w:r>
    </w:p>
    <w:p>
      <w:pPr>
        <w:spacing w:after="200"/>
      </w:pPr>
      <w:r>
        <w:t xml:space="preserve">As we studied Atlas, we realized it expresses seven primitive </w:t>
      </w:r>
      <w:r>
        <w:rPr>
          <w:i/>
          <w:iCs/>
        </w:rPr>
        <w:t xml:space="preserve">modalities</w:t>
      </w:r>
      <w:r>
        <w:t xml:space="preserve">—fundamental aspects of being and operation that appear throughout the structure. These organize into two layers:</w:t>
      </w:r>
    </w:p>
    <w:p>
      <w:pPr>
        <w:pStyle w:val="Heading2"/>
      </w:pPr>
      <w:r>
        <w:t xml:space="preserve">The Categorical Modalities</w:t>
      </w:r>
    </w:p>
    <w:p>
      <w:pPr>
        <w:spacing w:after="200"/>
      </w:pPr>
      <w:r>
        <w:t xml:space="preserve">These describe </w:t>
      </w:r>
      <w:r>
        <w:rPr>
          <w:i/>
          <w:iCs/>
        </w:rPr>
        <w:t xml:space="preserve">how</w:t>
      </w:r>
      <w:r>
        <w:t xml:space="preserve"> Atlas operates:</w:t>
      </w:r>
    </w:p>
    <w:p>
      <w:pPr>
        <w:spacing w:after="200"/>
      </w:pPr>
      <w:r>
        <w:rPr>
          <w:b/>
          <w:bCs/>
        </w:rPr>
        <w:t xml:space="preserve">Form</w:t>
      </w:r>
      <w:r>
        <w:t xml:space="preserve"> — Structure, being, the static shape of things. The Griess algebra's 196,884-dimensional geometry; the 96 resonance classes; the 194 conjugacy classes. Form is what exists before transformation.</w:t>
      </w:r>
    </w:p>
    <w:p>
      <w:pPr>
        <w:spacing w:after="200"/>
      </w:pPr>
      <w:r>
        <w:rPr>
          <w:b/>
          <w:bCs/>
        </w:rPr>
        <w:t xml:space="preserve">Function</w:t>
      </w:r>
      <w:r>
        <w:t xml:space="preserve"> — Operation, action, the dynamic doing of things. The L, R, κ operators; group actions; transformations. Function is what changes Form.</w:t>
      </w:r>
    </w:p>
    <w:p>
      <w:pPr>
        <w:spacing w:after="200"/>
      </w:pPr>
      <w:r>
        <w:rPr>
          <w:b/>
          <w:bCs/>
        </w:rPr>
        <w:t xml:space="preserve">Boundary</w:t>
      </w:r>
      <w:r>
        <w:t xml:space="preserve"> — Threshold, interface, the membrane between domains. The π and λ operators that mediate between external approximation and internal exactness. Boundary is where worlds meet.</w:t>
      </w:r>
    </w:p>
    <w:p>
      <w:pPr>
        <w:spacing w:after="200"/>
      </w:pPr>
      <w:r>
        <w:rPr>
          <w:b/>
          <w:bCs/>
        </w:rPr>
        <w:t xml:space="preserve">Witness</w:t>
      </w:r>
      <w:r>
        <w:t xml:space="preserve"> — Decision, observation, collapse to truth-value. The κ operator that crushes ℤ</w:t>
      </w:r>
      <w:r>
        <w:rPr>
          <w:i/>
          <w:iCs/>
        </w:rPr>
        <w:t xml:space="preserve">₉₆</w:t>
      </w:r>
      <w:r>
        <w:t xml:space="preserve"> to Boolean; the fixed points 0 and 48 that observe themselves. Witness is where potentiality becomes actuality.</w:t>
      </w:r>
    </w:p>
    <w:p>
      <w:pPr>
        <w:pStyle w:val="Heading2"/>
      </w:pPr>
      <w:r>
        <w:t xml:space="preserve">The Transcendental Modalities</w:t>
      </w:r>
    </w:p>
    <w:p>
      <w:pPr>
        <w:spacing w:after="200"/>
      </w:pPr>
      <w:r>
        <w:t xml:space="preserve">These describe </w:t>
      </w:r>
      <w:r>
        <w:rPr>
          <w:i/>
          <w:iCs/>
        </w:rPr>
        <w:t xml:space="preserve">why</w:t>
      </w:r>
      <w:r>
        <w:t xml:space="preserve"> Atlas is what it is—the conditions for its possibility:</w:t>
      </w:r>
    </w:p>
    <w:p>
      <w:pPr>
        <w:spacing w:after="200"/>
      </w:pPr>
      <w:r>
        <w:rPr>
          <w:b/>
          <w:bCs/>
        </w:rPr>
        <w:t xml:space="preserve">Origin</w:t>
      </w:r>
      <w:r>
        <w:t xml:space="preserve"> — Necessity, the ground from which structures emerge. Why the Monster and not some other group? Because nothing else suffices for maximal finite symmetry. The Monster exists with the same necessity as prime numbers. Origin answers: "It could not have been otherwise."</w:t>
      </w:r>
    </w:p>
    <w:p>
      <w:pPr>
        <w:spacing w:after="200"/>
      </w:pPr>
      <w:r>
        <w:rPr>
          <w:b/>
          <w:bCs/>
        </w:rPr>
        <w:t xml:space="preserve">Coherence</w:t>
      </w:r>
      <w:r>
        <w:t xml:space="preserve"> — Harmony, the unity of disparate domains. Why does Moonshine connect modular forms to finite groups? Because both are projections of the same underlying structure (the vertex operator algebra). Coherence answers: "They fit because they must."</w:t>
      </w:r>
    </w:p>
    <w:p>
      <w:pPr>
        <w:spacing w:after="200"/>
      </w:pPr>
      <w:r>
        <w:rPr>
          <w:b/>
          <w:bCs/>
        </w:rPr>
        <w:t xml:space="preserve">Silence</w:t>
      </w:r>
      <w:r>
        <w:t xml:space="preserve"> — Invariance, what persists when action ceases. The fixed points 0 and 48; the constant 744 that doesn't participate in Moonshine; the pariah groups outside the Monster. Silence is not absence—it's what remains. Silence answers: "This is what persists."</w:t>
      </w:r>
    </w:p>
    <w:p>
      <w:pPr>
        <w:pStyle w:val="Quote"/>
      </w:pPr>
      <w:r>
        <w:t xml:space="preserve">The transcendental modalities ground the categorical ones. Origin explains why Form takes the shape it does. Coherence explains why the operators compose into adjunctions. Silence explains the invariants that survive all transformation.</w:t>
      </w:r>
    </w:p>
    <w:p>
      <w:r>
        <w:br w:type="page"/>
      </w:r>
    </w:p>
    <w:p>
      <w:pPr>
        <w:pStyle w:val="Heading1"/>
      </w:pPr>
      <w:r>
        <w:t xml:space="preserve">Part VI: The Pariah Groups</w:t>
      </w:r>
    </w:p>
    <w:p>
      <w:pPr>
        <w:spacing w:after="200"/>
      </w:pPr>
      <w:r>
        <w:t xml:space="preserve">Of the 26 sporadic simple groups, 20 are contained in the Monster as subquotients. They form the "Happy Family." The remaining 6 are the </w:t>
      </w:r>
      <w:r>
        <w:rPr>
          <w:i/>
          <w:iCs/>
        </w:rPr>
        <w:t xml:space="preserve">pariahs</w:t>
      </w:r>
      <w:r>
        <w:t xml:space="preserve">—groups that cannot be embedded in the Monster, no matter how you try.</w:t>
      </w:r>
    </w:p>
    <w:p>
      <w:pPr>
        <w:spacing w:after="200"/>
      </w:pPr>
      <w:r>
        <w:t xml:space="preserve">The pariahs are: J</w:t>
      </w:r>
      <w:r>
        <w:rPr>
          <w:i/>
          <w:iCs/>
        </w:rPr>
        <w:t xml:space="preserve">₁</w:t>
      </w:r>
      <w:r>
        <w:t xml:space="preserve"> (Janko), J</w:t>
      </w:r>
      <w:r>
        <w:rPr>
          <w:i/>
          <w:iCs/>
        </w:rPr>
        <w:t xml:space="preserve">₃</w:t>
      </w:r>
      <w:r>
        <w:t xml:space="preserve"> (Janko), J</w:t>
      </w:r>
      <w:r>
        <w:rPr>
          <w:i/>
          <w:iCs/>
        </w:rPr>
        <w:t xml:space="preserve">₄</w:t>
      </w:r>
      <w:r>
        <w:t xml:space="preserve"> (Janko), O'N (O'Nan), Ru (Rudvalis), and Ly (Lyons).</w:t>
      </w:r>
    </w:p>
    <w:p>
      <w:pPr>
        <w:spacing w:after="200"/>
      </w:pPr>
      <w:r>
        <w:t xml:space="preserve">For decades, pariahs seemed like isolated exceptions—exotic mathematical creatures with no connection to Moonshine or the deeper structures. This changed in 2017.</w:t>
      </w:r>
    </w:p>
    <w:p>
      <w:pPr>
        <w:pStyle w:val="Heading2"/>
      </w:pPr>
      <w:r>
        <w:t xml:space="preserve">O'Nan Moonshine</w:t>
      </w:r>
    </w:p>
    <w:p>
      <w:pPr>
        <w:spacing w:after="200"/>
      </w:pPr>
      <w:r>
        <w:t xml:space="preserve">In 2017, Duncan, Mertens, and Ono proved that the O'Nan group has its own moonshine—but of a different kind. Where Monster moonshine connects to weight-0 modular forms (Hauptmoduls), O'Nan moonshine connects to </w:t>
      </w:r>
      <w:r>
        <w:rPr>
          <w:i/>
          <w:iCs/>
        </w:rPr>
        <w:t xml:space="preserve">weight 3/2 mock modular forms</w:t>
      </w:r>
      <w:r>
        <w:t xml:space="preserve">.</w:t>
      </w:r>
    </w:p>
    <w:p>
      <w:pPr>
        <w:spacing w:after="200"/>
      </w:pPr>
      <w:r>
        <w:t xml:space="preserve">Even more remarkably, O'Nan moonshine connects to arithmetic: the Birch and Swinnerton-Dyer conjecture, class numbers of imaginary quadratic fields, Selmer groups of elliptic curves. The pariah is not disconnected from deep mathematics—it's connected to </w:t>
      </w:r>
      <w:r>
        <w:rPr>
          <w:i/>
          <w:iCs/>
        </w:rPr>
        <w:t xml:space="preserve">different</w:t>
      </w:r>
      <w:r>
        <w:t xml:space="preserve"> deep mathematics.</w:t>
      </w:r>
    </w:p>
    <w:p>
      <w:pPr>
        <w:pStyle w:val="Heading2"/>
      </w:pPr>
      <w:r>
        <w:t xml:space="preserve">The Two Pariah Axes</w:t>
      </w:r>
    </w:p>
    <w:p>
      <w:pPr>
        <w:spacing w:after="200"/>
      </w:pPr>
      <w:r>
        <w:t xml:space="preserve">Our computational exploration revealed a striking pattern: the pariahs organize along two prime "axes":</w:t>
      </w:r>
    </w:p>
    <w:p>
      <w:pPr>
        <w:spacing w:after="200"/>
      </w:pPr>
      <w:r>
        <w:rPr>
          <w:b/>
          <w:bCs/>
        </w:rPr>
        <w:t xml:space="preserve">The 19-Axis</w:t>
      </w:r>
      <w:r>
        <w:t xml:space="preserve">: {J</w:t>
      </w:r>
      <w:r>
        <w:rPr>
          <w:i/>
          <w:iCs/>
        </w:rPr>
        <w:t xml:space="preserve">₁</w:t>
      </w:r>
      <w:r>
        <w:t xml:space="preserve">, J</w:t>
      </w:r>
      <w:r>
        <w:rPr>
          <w:i/>
          <w:iCs/>
        </w:rPr>
        <w:t xml:space="preserve">₃</w:t>
      </w:r>
      <w:r>
        <w:t xml:space="preserve">, O'N} — all three groups have orders divisible by 19. And 513 = 27 × 19, connecting them to Atlas's orbit structure.</w:t>
      </w:r>
    </w:p>
    <w:p>
      <w:pPr>
        <w:spacing w:after="200"/>
      </w:pPr>
      <w:r>
        <w:rPr>
          <w:b/>
          <w:bCs/>
        </w:rPr>
        <w:t xml:space="preserve">The 31-Axis</w:t>
      </w:r>
      <w:r>
        <w:t xml:space="preserve">: {J</w:t>
      </w:r>
      <w:r>
        <w:rPr>
          <w:i/>
          <w:iCs/>
        </w:rPr>
        <w:t xml:space="preserve">₄</w:t>
      </w:r>
      <w:r>
        <w:t xml:space="preserve">, O'N, Ly} — all three groups have orders divisible by 31. And 744 = 24 × 31, connecting them to the E</w:t>
      </w:r>
      <w:r>
        <w:rPr>
          <w:i/>
          <w:iCs/>
        </w:rPr>
        <w:t xml:space="preserve">₈</w:t>
      </w:r>
      <w:r>
        <w:t xml:space="preserve"> shadow in the j-function.</w:t>
      </w:r>
    </w:p>
    <w:p>
      <w:pPr>
        <w:spacing w:after="200"/>
      </w:pPr>
      <w:r>
        <w:t xml:space="preserve">O'Nan sits at the intersection of both axes—it contains both 19 and 31 in its order. O'Nan is the "central pariah," the bridge between Atlas's internal structure (19) and its connection to exceptional Lie algebras (31).</w:t>
      </w:r>
    </w:p>
    <w:p>
      <w:pPr>
        <w:spacing w:after="200"/>
      </w:pPr>
      <w:r>
        <w:t xml:space="preserve">Rudvalis is isolated—it contains neither 19 nor 31. It has a different kind of moonshine (VOA-based, discovered by Duncan in 2006) but no known arithmetic moonshine. Rudvalis seems to occupy yet another direction in the space of exceptional symmetry.</w:t>
      </w:r>
    </w:p>
    <w:p>
      <w:pPr>
        <w:pStyle w:val="Heading2"/>
      </w:pPr>
      <w:r>
        <w:t xml:space="preserve">Undiscovered Moonshine</w:t>
      </w:r>
    </w:p>
    <w:p>
      <w:pPr>
        <w:spacing w:after="200"/>
      </w:pPr>
      <w:r>
        <w:t xml:space="preserve">Our analysis predicts that Lyons has undiscovered moonshine. The minimal representation of Ly is:</w:t>
      </w:r>
    </w:p>
    <w:p>
      <w:pPr>
        <w:spacing w:after="200"/>
      </w:pPr>
      <w:r>
        <w:t xml:space="preserve">2480 = 37 × 67 + 1</w:t>
      </w:r>
    </w:p>
    <w:p>
      <w:pPr>
        <w:spacing w:after="200"/>
      </w:pPr>
      <w:r>
        <w:t xml:space="preserve">This exactly mirrors the Monster's pattern (196,883 = 47 × 59 × 71 = product of three largest supersingular primes). For Lyons, 37 and 67 are the two </w:t>
      </w:r>
      <w:r>
        <w:rPr>
          <w:i/>
          <w:iCs/>
        </w:rPr>
        <w:t xml:space="preserve">non-supersingular</w:t>
      </w:r>
      <w:r>
        <w:t xml:space="preserve"> primes in its order—the primes that make it impossible for Ly to embed in the Monster.</w:t>
      </w:r>
    </w:p>
    <w:p>
      <w:pPr>
        <w:spacing w:after="200"/>
      </w:pPr>
      <w:r>
        <w:t xml:space="preserve">We conjecture: there exists a graded infinite-dimensional Ly-module whose McKay-Thompson series are weight 3/2 mock modular forms, with first interesting coefficient 2480.</w:t>
      </w:r>
    </w:p>
    <w:p>
      <w:pPr>
        <w:spacing w:after="200"/>
      </w:pPr>
      <w:r>
        <w:t xml:space="preserve">The pariahs are not defects in the classification of finite simple groups. They are </w:t>
      </w:r>
      <w:r>
        <w:rPr>
          <w:i/>
          <w:iCs/>
        </w:rPr>
        <w:t xml:space="preserve">orthogonal exceptional structures</w:t>
      </w:r>
      <w:r>
        <w:t xml:space="preserve">—capturing aspects of symmetry that the Monster cannot reach. Atlas may need to be extended along the 19 and 31 axes to fully encompass them.</w:t>
      </w:r>
    </w:p>
    <w:p>
      <w:r>
        <w:br w:type="page"/>
      </w:r>
    </w:p>
    <w:p>
      <w:pPr>
        <w:pStyle w:val="Heading1"/>
      </w:pPr>
      <w:r>
        <w:t xml:space="preserve">Part VII: The E₈ Connection</w:t>
      </w:r>
    </w:p>
    <w:p>
      <w:pPr>
        <w:spacing w:after="200"/>
      </w:pPr>
      <w:r>
        <w:t xml:space="preserve">The Monster group and the E</w:t>
      </w:r>
      <w:r>
        <w:rPr>
          <w:i/>
          <w:iCs/>
        </w:rPr>
        <w:t xml:space="preserve">₈</w:t>
      </w:r>
      <w:r>
        <w:t xml:space="preserve"> Lie algebra are the two "maximal exceptional" objects in their respective domains—the largest sporadic group and the largest exceptional Lie algebra. They seem utterly different: one is discrete and finite, the other continuous and infinite-dimensional.</w:t>
      </w:r>
    </w:p>
    <w:p>
      <w:pPr>
        <w:spacing w:after="200"/>
      </w:pPr>
      <w:r>
        <w:t xml:space="preserve">Yet they're connected.</w:t>
      </w:r>
    </w:p>
    <w:p>
      <w:pPr>
        <w:pStyle w:val="Heading2"/>
      </w:pPr>
      <w:r>
        <w:t xml:space="preserve">The Leech Bridge</w:t>
      </w:r>
    </w:p>
    <w:p>
      <w:pPr>
        <w:spacing w:after="200"/>
      </w:pPr>
      <w:r>
        <w:t xml:space="preserve">The connection runs through the Leech lattice Λ</w:t>
      </w:r>
      <w:r>
        <w:rPr>
          <w:i/>
          <w:iCs/>
        </w:rPr>
        <w:t xml:space="preserve">₂₄</w:t>
      </w:r>
      <w:r>
        <w:t xml:space="preserve">—the unique 24-dimensional even unimodular lattice with no roots (no vectors of length √2). The Leech lattice is extraordinary:</w:t>
      </w:r>
    </w:p>
    <w:p>
      <w:pPr>
        <w:spacing w:after="200"/>
      </w:pPr>
      <w:r>
        <w:t xml:space="preserve">• It achieves the optimal sphere-packing density in 24 dimensions</w:t>
      </w:r>
    </w:p>
    <w:p>
      <w:pPr>
        <w:spacing w:after="200"/>
      </w:pPr>
      <w:r>
        <w:t xml:space="preserve">• Its kissing number (196,560) is the maximum possible in 24D</w:t>
      </w:r>
    </w:p>
    <w:p>
      <w:pPr>
        <w:spacing w:after="200"/>
      </w:pPr>
      <w:r>
        <w:t xml:space="preserve">• Its automorphism group is Co</w:t>
      </w:r>
      <w:r>
        <w:rPr>
          <w:i/>
          <w:iCs/>
        </w:rPr>
        <w:t xml:space="preserve">₀</w:t>
      </w:r>
      <w:r>
        <w:t xml:space="preserve">, which contains the Monster as a quotient via the Griess construction</w:t>
      </w:r>
    </w:p>
    <w:p>
      <w:pPr>
        <w:spacing w:after="200"/>
      </w:pPr>
      <w:r>
        <w:t xml:space="preserve">The Leech lattice can be constructed from </w:t>
      </w:r>
      <w:r>
        <w:rPr>
          <w:i/>
          <w:iCs/>
        </w:rPr>
        <w:t xml:space="preserve">three copies of E₈</w:t>
      </w:r>
      <w:r>
        <w:t xml:space="preserve">:</w:t>
      </w:r>
    </w:p>
    <w:p>
      <w:pPr>
        <w:spacing w:after="200"/>
      </w:pPr>
      <w:r>
        <w:t xml:space="preserve">Λ</w:t>
      </w:r>
      <w:r>
        <w:rPr>
          <w:i/>
          <w:iCs/>
        </w:rPr>
        <w:t xml:space="preserve">₂₄</w:t>
      </w:r>
      <w:r>
        <w:t xml:space="preserve"> ≅ E</w:t>
      </w:r>
      <w:r>
        <w:rPr>
          <w:i/>
          <w:iCs/>
        </w:rPr>
        <w:t xml:space="preserve">₈</w:t>
      </w:r>
      <w:r>
        <w:t xml:space="preserve"> × E</w:t>
      </w:r>
      <w:r>
        <w:rPr>
          <w:i/>
          <w:iCs/>
        </w:rPr>
        <w:t xml:space="preserve">₈</w:t>
      </w:r>
      <w:r>
        <w:t xml:space="preserve"> × E</w:t>
      </w:r>
      <w:r>
        <w:rPr>
          <w:i/>
          <w:iCs/>
        </w:rPr>
        <w:t xml:space="preserve">₈</w:t>
      </w:r>
      <w:r>
        <w:t xml:space="preserve"> (mod sublattice)</w:t>
      </w:r>
    </w:p>
    <w:p>
      <w:pPr>
        <w:spacing w:after="200"/>
      </w:pPr>
      <w:r>
        <w:t xml:space="preserve">This is the Turyn construction. Three copies of the E</w:t>
      </w:r>
      <w:r>
        <w:rPr>
          <w:i/>
          <w:iCs/>
        </w:rPr>
        <w:t xml:space="preserve">₈</w:t>
      </w:r>
      <w:r>
        <w:t xml:space="preserve"> lattice, assembled according to the ternary Golay code, produce the Leech lattice. And from the Leech lattice, the Monster emerges.</w:t>
      </w:r>
    </w:p>
    <w:p>
      <w:pPr>
        <w:spacing w:after="200"/>
      </w:pPr>
      <w:r>
        <w:t xml:space="preserve">This is why 744 = 3 × 248. The three E</w:t>
      </w:r>
      <w:r>
        <w:rPr>
          <w:i/>
          <w:iCs/>
        </w:rPr>
        <w:t xml:space="preserve">₈</w:t>
      </w:r>
      <w:r>
        <w:t xml:space="preserve"> copies in the Leech construction leave their signature in the j-function's constant term.</w:t>
      </w:r>
    </w:p>
    <w:p>
      <w:pPr>
        <w:pStyle w:val="Heading2"/>
      </w:pPr>
      <w:r>
        <w:t xml:space="preserve">Discrete and Continuous</w:t>
      </w:r>
    </w:p>
    <w:p>
      <w:pPr>
        <w:spacing w:after="200"/>
      </w:pPr>
      <w:r>
        <w:t xml:space="preserve">The j-function is the universal interface where discrete and continuous exceptional structure meet:</w:t>
      </w:r>
    </w:p>
    <w:p>
      <w:pPr>
        <w:spacing w:after="200"/>
      </w:pPr>
      <w:r>
        <w:t xml:space="preserve">• The q-expansion coefficients (196,884, 21,493,760, ...) encode the Monster—discrete, finite, algebraic</w:t>
      </w:r>
    </w:p>
    <w:p>
      <w:pPr>
        <w:spacing w:after="200"/>
      </w:pPr>
      <w:r>
        <w:t xml:space="preserve">• The constant term 744 = 3 × 248 encodes E</w:t>
      </w:r>
      <w:r>
        <w:rPr>
          <w:i/>
          <w:iCs/>
        </w:rPr>
        <w:t xml:space="preserve">₈</w:t>
      </w:r>
      <w:r>
        <w:t xml:space="preserve">—continuous, infinite-dimensional, Lie-theoretic</w:t>
      </w:r>
    </w:p>
    <w:p>
      <w:pPr>
        <w:spacing w:after="200"/>
      </w:pPr>
      <w:r>
        <w:t xml:space="preserve">The j-function is not just a modular form. It's a </w:t>
      </w:r>
      <w:r>
        <w:rPr>
          <w:i/>
          <w:iCs/>
        </w:rPr>
        <w:t xml:space="preserve">Rosetta Stone</w:t>
      </w:r>
      <w:r>
        <w:t xml:space="preserve"> that translates between the two great branches of exceptional mathematics.</w:t>
      </w:r>
    </w:p>
    <w:p>
      <w:pPr>
        <w:pStyle w:val="Heading2"/>
      </w:pPr>
      <w:r>
        <w:t xml:space="preserve">The Golden Seed Vector</w:t>
      </w:r>
    </w:p>
    <w:p>
      <w:pPr>
        <w:spacing w:after="200"/>
      </w:pPr>
      <w:r>
        <w:t xml:space="preserve">Atlas's formal specification includes the construction of a "Golden Seed Vector"—a 96-vertex structure that, through iterated operations, derives all five exceptional Lie groups: G</w:t>
      </w:r>
      <w:r>
        <w:rPr>
          <w:i/>
          <w:iCs/>
        </w:rPr>
        <w:t xml:space="preserve">₂</w:t>
      </w:r>
      <w:r>
        <w:t xml:space="preserve">, F</w:t>
      </w:r>
      <w:r>
        <w:rPr>
          <w:i/>
          <w:iCs/>
        </w:rPr>
        <w:t xml:space="preserve">₄</w:t>
      </w:r>
      <w:r>
        <w:t xml:space="preserve">, E</w:t>
      </w:r>
      <w:r>
        <w:rPr>
          <w:i/>
          <w:iCs/>
        </w:rPr>
        <w:t xml:space="preserve">₆</w:t>
      </w:r>
      <w:r>
        <w:t xml:space="preserve">, E</w:t>
      </w:r>
      <w:r>
        <w:rPr>
          <w:i/>
          <w:iCs/>
        </w:rPr>
        <w:t xml:space="preserve">₇</w:t>
      </w:r>
      <w:r>
        <w:t xml:space="preserve">, E</w:t>
      </w:r>
      <w:r>
        <w:rPr>
          <w:i/>
          <w:iCs/>
        </w:rPr>
        <w:t xml:space="preserve">₈</w:t>
      </w:r>
      <w:r>
        <w:t xml:space="preserve">.</w:t>
      </w:r>
    </w:p>
    <w:p>
      <w:pPr>
        <w:spacing w:after="200"/>
      </w:pPr>
      <w:r>
        <w:t xml:space="preserve">The connection is traceable: the 96 resonance classes encode modular arithmetic over a ring whose structure reflects the Monster's character table. The exceptional Lie algebras G</w:t>
      </w:r>
      <w:r>
        <w:rPr>
          <w:i/>
          <w:iCs/>
        </w:rPr>
        <w:t xml:space="preserve">₂</w:t>
      </w:r>
      <w:r>
        <w:t xml:space="preserve">, F</w:t>
      </w:r>
      <w:r>
        <w:rPr>
          <w:i/>
          <w:iCs/>
        </w:rPr>
        <w:t xml:space="preserve">₄</w:t>
      </w:r>
      <w:r>
        <w:t xml:space="preserve">, E</w:t>
      </w:r>
      <w:r>
        <w:rPr>
          <w:i/>
          <w:iCs/>
        </w:rPr>
        <w:t xml:space="preserve">₆</w:t>
      </w:r>
      <w:r>
        <w:t xml:space="preserve">, E</w:t>
      </w:r>
      <w:r>
        <w:rPr>
          <w:i/>
          <w:iCs/>
        </w:rPr>
        <w:t xml:space="preserve">₇</w:t>
      </w:r>
      <w:r>
        <w:t xml:space="preserve">, E</w:t>
      </w:r>
      <w:r>
        <w:rPr>
          <w:i/>
          <w:iCs/>
        </w:rPr>
        <w:t xml:space="preserve">₈</w:t>
      </w:r>
      <w:r>
        <w:t xml:space="preserve"> all embed in E</w:t>
      </w:r>
      <w:r>
        <w:rPr>
          <w:i/>
          <w:iCs/>
        </w:rPr>
        <w:t xml:space="preserve">₈</w:t>
      </w:r>
      <w:r>
        <w:t xml:space="preserve"> (the largest contains the others), and E</w:t>
      </w:r>
      <w:r>
        <w:rPr>
          <w:i/>
          <w:iCs/>
        </w:rPr>
        <w:t xml:space="preserve">₈</w:t>
      </w:r>
      <w:r>
        <w:t xml:space="preserve"> connects to the Monster through the Leech lattice (built from three E</w:t>
      </w:r>
      <w:r>
        <w:rPr>
          <w:i/>
          <w:iCs/>
        </w:rPr>
        <w:t xml:space="preserve">₈</w:t>
      </w:r>
      <w:r>
        <w:t xml:space="preserve"> copies). When the Golden Seed Vector's 96-vertex structure is iterated through Atlas operations, it traces paths through representation space that reconstruct the root systems of these algebras. The root system of E</w:t>
      </w:r>
      <w:r>
        <w:rPr>
          <w:i/>
          <w:iCs/>
        </w:rPr>
        <w:t xml:space="preserve">₈</w:t>
      </w:r>
      <w:r>
        <w:t xml:space="preserve"> has 240 roots; G</w:t>
      </w:r>
      <w:r>
        <w:rPr>
          <w:i/>
          <w:iCs/>
        </w:rPr>
        <w:t xml:space="preserve">₂</w:t>
      </w:r>
      <w:r>
        <w:t xml:space="preserve"> has 12; F</w:t>
      </w:r>
      <w:r>
        <w:rPr>
          <w:i/>
          <w:iCs/>
        </w:rPr>
        <w:t xml:space="preserve">₄</w:t>
      </w:r>
      <w:r>
        <w:t xml:space="preserve"> has 48; E</w:t>
      </w:r>
      <w:r>
        <w:rPr>
          <w:i/>
          <w:iCs/>
        </w:rPr>
        <w:t xml:space="preserve">₆</w:t>
      </w:r>
      <w:r>
        <w:t xml:space="preserve"> has 72; E</w:t>
      </w:r>
      <w:r>
        <w:rPr>
          <w:i/>
          <w:iCs/>
        </w:rPr>
        <w:t xml:space="preserve">₇</w:t>
      </w:r>
      <w:r>
        <w:t xml:space="preserve"> has 126. These numbers all divide into or relate to the Monster's structure constants. Both the Monster and the exceptional Lie algebras are projections of constraints on even unimodular lattices—the Monster through the Leech lattice in 24 dimensions, E</w:t>
      </w:r>
      <w:r>
        <w:rPr>
          <w:i/>
          <w:iCs/>
        </w:rPr>
        <w:t xml:space="preserve">₈</w:t>
      </w:r>
      <w:r>
        <w:t xml:space="preserve"> through its lattice in 8 dimensions.</w:t>
      </w:r>
    </w:p>
    <w:p>
      <w:pPr>
        <w:spacing w:after="200"/>
      </w:pPr>
      <w:r>
        <w:t xml:space="preserve">What is this deeper structure? We don't fully know. It may be the vertex operator algebra itself. It may be the constraints on even unimodular lattices in dimensions divisible by 8. It may be something we haven't named yet.</w:t>
      </w:r>
    </w:p>
    <w:p>
      <w:pPr>
        <w:spacing w:after="200"/>
      </w:pPr>
      <w:r>
        <w:t xml:space="preserve">But it's there. And Atlas gives us a computational window into it.</w:t>
      </w:r>
    </w:p>
    <w:p>
      <w:r>
        <w:br w:type="page"/>
      </w:r>
    </w:p>
    <w:p>
      <w:pPr>
        <w:pStyle w:val="Heading1"/>
      </w:pPr>
      <w:r>
        <w:t xml:space="preserve">Part VIII: The Vision</w:t>
      </w:r>
    </w:p>
    <w:p>
      <w:pPr>
        <w:spacing w:after="200"/>
      </w:pPr>
      <w:r>
        <w:t xml:space="preserve">What is Atlas, ultimately?</w:t>
      </w:r>
    </w:p>
    <w:p>
      <w:pPr>
        <w:spacing w:after="200"/>
      </w:pPr>
      <w:r>
        <w:t xml:space="preserve">It's a projection. The deepest symmetries of mathematics—those captured by the Monster, E</w:t>
      </w:r>
      <w:r>
        <w:rPr>
          <w:i/>
          <w:iCs/>
        </w:rPr>
        <w:t xml:space="preserve">₈</w:t>
      </w:r>
      <w:r>
        <w:t xml:space="preserve">, and related exceptional structures—project onto finite, implementable forms. Atlas is where that projection becomes computation.</w:t>
      </w:r>
    </w:p>
    <w:p>
      <w:pPr>
        <w:spacing w:after="200"/>
      </w:pPr>
      <w:r>
        <w:t xml:space="preserve">It's a substrate. Not a particular algorithm, but a foundation on which algorithms can be built. Any computation that respects Atlas's symmetry structure inherits its properties: exact interior arithmetic, optimal operator chains, massive inherent parallelism.</w:t>
      </w:r>
    </w:p>
    <w:p>
      <w:pPr>
        <w:spacing w:after="200"/>
      </w:pPr>
      <w:r>
        <w:t xml:space="preserve">It's a discovery. We didn't design these relationships. We found them. The numbers 96, 196,884, 744, 513, 12,288 arise from following the logic of exceptional symmetry. They're as necessary as the Platonic solids.</w:t>
      </w:r>
    </w:p>
    <w:p>
      <w:pPr>
        <w:pStyle w:val="Heading2"/>
      </w:pPr>
      <w:r>
        <w:t xml:space="preserve">What This Means</w:t>
      </w:r>
    </w:p>
    <w:p>
      <w:pPr>
        <w:spacing w:after="200"/>
      </w:pPr>
      <w:r>
        <w:t xml:space="preserve">If Atlas is what we think it is, then computation—properly understood—has the shape of exceptional mathematics. The structures that mathematicians have studied for their beauty and strangeness turn out to be the natural foundation for information processing.</w:t>
      </w:r>
    </w:p>
    <w:p>
      <w:pPr>
        <w:spacing w:after="200"/>
      </w:pPr>
      <w:r>
        <w:t xml:space="preserve">This suggests that our current computational paradigms (Turing machines, von Neumann architectures) are like special cases—particular projections of something more universal. Atlas may be that something, or a window into it.</w:t>
      </w:r>
    </w:p>
    <w:p>
      <w:pPr>
        <w:pStyle w:val="Heading2"/>
      </w:pPr>
      <w:r>
        <w:t xml:space="preserve">Open Questions</w:t>
      </w:r>
    </w:p>
    <w:p>
      <w:pPr>
        <w:spacing w:after="200"/>
      </w:pPr>
      <w:r>
        <w:t xml:space="preserve">Much remains unknown:</w:t>
      </w:r>
    </w:p>
    <w:p>
      <w:pPr>
        <w:spacing w:after="200"/>
      </w:pPr>
      <w:r>
        <w:t xml:space="preserve">• What is the "ultimate source" that generates both Monster and E</w:t>
      </w:r>
      <w:r>
        <w:rPr>
          <w:i/>
          <w:iCs/>
        </w:rPr>
        <w:t xml:space="preserve">₈</w:t>
      </w:r>
      <w:r>
        <w:t xml:space="preserve">?</w:t>
      </w:r>
    </w:p>
    <w:p>
      <w:pPr>
        <w:spacing w:after="200"/>
      </w:pPr>
      <w:r>
        <w:t xml:space="preserve">• Do all pariahs have moonshine? What weight? What modular forms?</w:t>
      </w:r>
    </w:p>
    <w:p>
      <w:pPr>
        <w:spacing w:after="200"/>
      </w:pPr>
      <w:r>
        <w:t xml:space="preserve">• Can Atlas be extended along the 19 and 31 axes to encompass pariah structure?</w:t>
      </w:r>
    </w:p>
    <w:p>
      <w:pPr>
        <w:spacing w:after="200"/>
      </w:pPr>
      <w:r>
        <w:t xml:space="preserve">• What is the physical meaning of weight 3/2 moonshine (versus weight 0)?</w:t>
      </w:r>
    </w:p>
    <w:p>
      <w:pPr>
        <w:spacing w:after="200"/>
      </w:pPr>
      <w:r>
        <w:t xml:space="preserve">• Is there an "eighth modality" relating the transcendental and categorical layers?</w:t>
      </w:r>
    </w:p>
    <w:p>
      <w:pPr>
        <w:spacing w:after="200"/>
      </w:pPr>
      <w:r>
        <w:t xml:space="preserve">• What does the limit of higher coherence (C</w:t>
      </w:r>
      <w:r>
        <w:rPr>
          <w:i/>
          <w:iCs/>
        </w:rPr>
        <w:t xml:space="preserve">²</w:t>
      </w:r>
      <w:r>
        <w:t xml:space="preserve">, C</w:t>
      </w:r>
      <w:r>
        <w:rPr>
          <w:i/>
          <w:iCs/>
        </w:rPr>
        <w:t xml:space="preserve">³</w:t>
      </w:r>
      <w:r>
        <w:t xml:space="preserve">, C</w:t>
      </w:r>
      <w:r>
        <w:rPr>
          <w:i/>
          <w:iCs/>
        </w:rPr>
        <w:t xml:space="preserve">∞</w:t>
      </w:r>
      <w:r>
        <w:t xml:space="preserve">) look like?</w:t>
      </w:r>
    </w:p>
    <w:p>
      <w:pPr>
        <w:spacing w:after="200"/>
      </w:pPr>
      <w:r>
        <w:t xml:space="preserve">These are not idle speculations. Each question connects to verifiable mathematics. Atlas gives us a framework for asking them precisely.</w:t>
      </w:r>
    </w:p>
    <w:p>
      <w:pPr>
        <w:pStyle w:val="Heading2"/>
      </w:pPr>
      <w:r>
        <w:t xml:space="preserve">A Final Thought</w:t>
      </w:r>
    </w:p>
    <w:p>
      <w:pPr>
        <w:spacing w:after="200"/>
      </w:pPr>
      <w:r>
        <w:t xml:space="preserve">The Monster was named partly as a joke—it seemed like a monstrosity, an inexplicable deviation from the clean patterns of mathematics. But as we've come to understand it, the Monster looks less like an aberration and more like an inevitability. It's where exceptional symmetry converges.</w:t>
      </w:r>
    </w:p>
    <w:p>
      <w:pPr>
        <w:spacing w:after="200"/>
      </w:pPr>
      <w:r>
        <w:t xml:space="preserve">Atlas is an attempt to take that convergence seriously. To build computation on the foundation of necessity rather than convention. To let the deep structure of mathematics speak through our machines.</w:t>
      </w:r>
    </w:p>
    <w:p>
      <w:pPr>
        <w:spacing w:after="200"/>
      </w:pPr>
      <w:r>
        <w:t xml:space="preserve">We are still early in this work. Atlas is a framework, not a finished product. But the numbers keep speaking, the patterns keep appearing, and the connections keep deepening.</w:t>
      </w:r>
    </w:p>
    <w:p>
      <w:pPr>
        <w:spacing w:after="200"/>
      </w:pPr>
      <w:r>
        <w:t xml:space="preserve">That's usually a sign we're onto something real.</w:t>
      </w:r>
    </w:p>
    <w:p>
      <w:pPr>
        <w:spacing w:before="600"/>
      </w:pPr>
    </w:p>
    <w:p>
      <w:pPr>
        <w:jc w:val="center"/>
      </w:pPr>
      <w:r>
        <w:rPr>
          <w:sz w:val="28"/>
          <w:szCs w:val="28"/>
        </w:rPr>
        <w:t xml:space="preserve">— — —</w:t>
      </w:r>
    </w:p>
    <w:p>
      <w:r>
        <w:br w:type="page"/>
      </w:r>
    </w:p>
    <w:p>
      <w:pPr>
        <w:pStyle w:val="Heading1"/>
      </w:pPr>
      <w:r>
        <w:t xml:space="preserve">Appendix: Key Numbers at a Glance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Number</w:t>
            </w:r>
          </w:p>
        </w:tc>
        <w:tc>
          <w:tcPr>
            <w:tcW w:type="dxa" w:w="300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Factorization</w:t>
            </w:r>
          </w:p>
        </w:tc>
        <w:tc>
          <w:tcPr>
            <w:tcW w:type="dxa" w:w="3360"/>
            <w:tcBorders>
              <w:top w:val="single" w:color="CCCCCC" w:sz="1"/>
              <w:left w:val="single" w:color="CCCCCC" w:sz="1"/>
              <w:bottom w:val="single" w:color="CCCCCC" w:sz="1"/>
              <w:right w:val="single" w:color="CCCCCC" w:sz="1"/>
            </w:tcBorders>
            <w:shd w:fill="2c3e50" w:val="clear"/>
          </w:tcPr>
          <w:p>
            <w:pPr>
              <w:jc w:val="center"/>
            </w:pPr>
            <w:r>
              <w:rPr>
                <w:b/>
                <w:bCs/>
                <w:color w:val="FFFFFF"/>
              </w:rPr>
              <w:t xml:space="preserve">Meaning</w:t>
            </w:r>
          </w:p>
        </w:tc>
      </w:tr>
      <w:tr>
        <w:tc>
          <w:tcPr>
            <w:tcW w:type="dxa" w:w="3000"/>
            <w:tcBorders>
              <w:top w:val="single" w:color="CCCCCC" w:sz="1"/>
              <w:left w:val="single" w:color="CCCCCC" w:sz="1"/>
              <w:bottom w:val="single" w:color="CCCCCC" w:sz="1"/>
              <w:right w:val="single" w:color="CCCCCC" w:sz="1"/>
            </w:tcBorders>
            <w:shd w:fill="f8f9fa" w:val="clear"/>
          </w:tcPr>
          <w:p>
            <w:r>
              <w:rPr>
                <w:b/>
                <w:bCs/>
              </w:rPr>
              <w:t xml:space="preserve">96</w:t>
            </w:r>
          </w:p>
        </w:tc>
        <w:tc>
          <w:tcPr>
            <w:tcW w:type="dxa" w:w="3000"/>
            <w:tcBorders>
              <w:top w:val="single" w:color="CCCCCC" w:sz="1"/>
              <w:left w:val="single" w:color="CCCCCC" w:sz="1"/>
              <w:bottom w:val="single" w:color="CCCCCC" w:sz="1"/>
              <w:right w:val="single" w:color="CCCCCC" w:sz="1"/>
            </w:tcBorders>
            <w:shd w:fill="f8f9fa" w:val="clear"/>
          </w:tcPr>
          <w:p>
            <w:r>
              <w:t xml:space="preserve">2⁵ × 3</w:t>
            </w:r>
          </w:p>
        </w:tc>
        <w:tc>
          <w:tcPr>
            <w:tcW w:type="dxa" w:w="3360"/>
            <w:tcBorders>
              <w:top w:val="single" w:color="CCCCCC" w:sz="1"/>
              <w:left w:val="single" w:color="CCCCCC" w:sz="1"/>
              <w:bottom w:val="single" w:color="CCCCCC" w:sz="1"/>
              <w:right w:val="single" w:color="CCCCCC" w:sz="1"/>
            </w:tcBorders>
            <w:shd w:fill="f8f9fa" w:val="clear"/>
          </w:tcPr>
          <w:p>
            <w:r>
              <w:t xml:space="preserve">Resonance classes</w:t>
            </w:r>
          </w:p>
        </w:tc>
      </w:tr>
      <w:tr>
        <w:tc>
          <w:tcPr>
            <w:tcW w:type="dxa" w:w="3000"/>
            <w:tcBorders>
              <w:top w:val="single" w:color="CCCCCC" w:sz="1"/>
              <w:left w:val="single" w:color="CCCCCC" w:sz="1"/>
              <w:bottom w:val="single" w:color="CCCCCC" w:sz="1"/>
              <w:right w:val="single" w:color="CCCCCC" w:sz="1"/>
            </w:tcBorders>
          </w:tcPr>
          <w:p>
            <w:r>
              <w:rPr>
                <w:b/>
                <w:bCs/>
              </w:rPr>
              <w:t xml:space="preserve">194</w:t>
            </w:r>
          </w:p>
        </w:tc>
        <w:tc>
          <w:tcPr>
            <w:tcW w:type="dxa" w:w="3000"/>
            <w:tcBorders>
              <w:top w:val="single" w:color="CCCCCC" w:sz="1"/>
              <w:left w:val="single" w:color="CCCCCC" w:sz="1"/>
              <w:bottom w:val="single" w:color="CCCCCC" w:sz="1"/>
              <w:right w:val="single" w:color="CCCCCC" w:sz="1"/>
            </w:tcBorders>
          </w:tcPr>
          <w:p>
            <w:r>
              <w:t xml:space="preserve">2 × 97</w:t>
            </w:r>
          </w:p>
        </w:tc>
        <w:tc>
          <w:tcPr>
            <w:tcW w:type="dxa" w:w="3360"/>
            <w:tcBorders>
              <w:top w:val="single" w:color="CCCCCC" w:sz="1"/>
              <w:left w:val="single" w:color="CCCCCC" w:sz="1"/>
              <w:bottom w:val="single" w:color="CCCCCC" w:sz="1"/>
              <w:right w:val="single" w:color="CCCCCC" w:sz="1"/>
            </w:tcBorders>
          </w:tcPr>
          <w:p>
            <w:r>
              <w:t xml:space="preserve">Monster conjugacy classes</w:t>
            </w:r>
          </w:p>
        </w:tc>
      </w:tr>
      <w:tr>
        <w:tc>
          <w:tcPr>
            <w:tcW w:type="dxa" w:w="3000"/>
            <w:tcBorders>
              <w:top w:val="single" w:color="CCCCCC" w:sz="1"/>
              <w:left w:val="single" w:color="CCCCCC" w:sz="1"/>
              <w:bottom w:val="single" w:color="CCCCCC" w:sz="1"/>
              <w:right w:val="single" w:color="CCCCCC" w:sz="1"/>
            </w:tcBorders>
            <w:shd w:fill="f8f9fa" w:val="clear"/>
          </w:tcPr>
          <w:p>
            <w:r>
              <w:rPr>
                <w:b/>
                <w:bCs/>
              </w:rPr>
              <w:t xml:space="preserve">196,883</w:t>
            </w:r>
          </w:p>
        </w:tc>
        <w:tc>
          <w:tcPr>
            <w:tcW w:type="dxa" w:w="3000"/>
            <w:tcBorders>
              <w:top w:val="single" w:color="CCCCCC" w:sz="1"/>
              <w:left w:val="single" w:color="CCCCCC" w:sz="1"/>
              <w:bottom w:val="single" w:color="CCCCCC" w:sz="1"/>
              <w:right w:val="single" w:color="CCCCCC" w:sz="1"/>
            </w:tcBorders>
            <w:shd w:fill="f8f9fa" w:val="clear"/>
          </w:tcPr>
          <w:p>
            <w:r>
              <w:t xml:space="preserve">47 × 59 × 71</w:t>
            </w:r>
          </w:p>
        </w:tc>
        <w:tc>
          <w:tcPr>
            <w:tcW w:type="dxa" w:w="3360"/>
            <w:tcBorders>
              <w:top w:val="single" w:color="CCCCCC" w:sz="1"/>
              <w:left w:val="single" w:color="CCCCCC" w:sz="1"/>
              <w:bottom w:val="single" w:color="CCCCCC" w:sz="1"/>
              <w:right w:val="single" w:color="CCCCCC" w:sz="1"/>
            </w:tcBorders>
            <w:shd w:fill="f8f9fa" w:val="clear"/>
          </w:tcPr>
          <w:p>
            <w:r>
              <w:t xml:space="preserve">Smallest nontrivial Monster rep</w:t>
            </w:r>
          </w:p>
        </w:tc>
      </w:tr>
      <w:tr>
        <w:tc>
          <w:tcPr>
            <w:tcW w:type="dxa" w:w="3000"/>
            <w:tcBorders>
              <w:top w:val="single" w:color="CCCCCC" w:sz="1"/>
              <w:left w:val="single" w:color="CCCCCC" w:sz="1"/>
              <w:bottom w:val="single" w:color="CCCCCC" w:sz="1"/>
              <w:right w:val="single" w:color="CCCCCC" w:sz="1"/>
            </w:tcBorders>
          </w:tcPr>
          <w:p>
            <w:r>
              <w:rPr>
                <w:b/>
                <w:bCs/>
              </w:rPr>
              <w:t xml:space="preserve">196,884</w:t>
            </w:r>
          </w:p>
        </w:tc>
        <w:tc>
          <w:tcPr>
            <w:tcW w:type="dxa" w:w="3000"/>
            <w:tcBorders>
              <w:top w:val="single" w:color="CCCCCC" w:sz="1"/>
              <w:left w:val="single" w:color="CCCCCC" w:sz="1"/>
              <w:bottom w:val="single" w:color="CCCCCC" w:sz="1"/>
              <w:right w:val="single" w:color="CCCCCC" w:sz="1"/>
            </w:tcBorders>
          </w:tcPr>
          <w:p>
            <w:r>
              <w:t xml:space="preserve">1 + 196,883</w:t>
            </w:r>
          </w:p>
        </w:tc>
        <w:tc>
          <w:tcPr>
            <w:tcW w:type="dxa" w:w="3360"/>
            <w:tcBorders>
              <w:top w:val="single" w:color="CCCCCC" w:sz="1"/>
              <w:left w:val="single" w:color="CCCCCC" w:sz="1"/>
              <w:bottom w:val="single" w:color="CCCCCC" w:sz="1"/>
              <w:right w:val="single" w:color="CCCCCC" w:sz="1"/>
            </w:tcBorders>
          </w:tcPr>
          <w:p>
            <w:r>
              <w:t xml:space="preserve">Griess algebra dimension</w:t>
            </w:r>
          </w:p>
        </w:tc>
      </w:tr>
      <w:tr>
        <w:tc>
          <w:tcPr>
            <w:tcW w:type="dxa" w:w="3000"/>
            <w:tcBorders>
              <w:top w:val="single" w:color="CCCCCC" w:sz="1"/>
              <w:left w:val="single" w:color="CCCCCC" w:sz="1"/>
              <w:bottom w:val="single" w:color="CCCCCC" w:sz="1"/>
              <w:right w:val="single" w:color="CCCCCC" w:sz="1"/>
            </w:tcBorders>
            <w:shd w:fill="f8f9fa" w:val="clear"/>
          </w:tcPr>
          <w:p>
            <w:r>
              <w:rPr>
                <w:b/>
                <w:bCs/>
              </w:rPr>
              <w:t xml:space="preserve">744</w:t>
            </w:r>
          </w:p>
        </w:tc>
        <w:tc>
          <w:tcPr>
            <w:tcW w:type="dxa" w:w="3000"/>
            <w:tcBorders>
              <w:top w:val="single" w:color="CCCCCC" w:sz="1"/>
              <w:left w:val="single" w:color="CCCCCC" w:sz="1"/>
              <w:bottom w:val="single" w:color="CCCCCC" w:sz="1"/>
              <w:right w:val="single" w:color="CCCCCC" w:sz="1"/>
            </w:tcBorders>
            <w:shd w:fill="f8f9fa" w:val="clear"/>
          </w:tcPr>
          <w:p>
            <w:r>
              <w:t xml:space="preserve">3 × 248</w:t>
            </w:r>
          </w:p>
        </w:tc>
        <w:tc>
          <w:tcPr>
            <w:tcW w:type="dxa" w:w="3360"/>
            <w:tcBorders>
              <w:top w:val="single" w:color="CCCCCC" w:sz="1"/>
              <w:left w:val="single" w:color="CCCCCC" w:sz="1"/>
              <w:bottom w:val="single" w:color="CCCCCC" w:sz="1"/>
              <w:right w:val="single" w:color="CCCCCC" w:sz="1"/>
            </w:tcBorders>
            <w:shd w:fill="f8f9fa" w:val="clear"/>
          </w:tcPr>
          <w:p>
            <w:r>
              <w:t xml:space="preserve">E₈ shadow in j-function</w:t>
            </w:r>
          </w:p>
        </w:tc>
      </w:tr>
      <w:tr>
        <w:tc>
          <w:tcPr>
            <w:tcW w:type="dxa" w:w="3000"/>
            <w:tcBorders>
              <w:top w:val="single" w:color="CCCCCC" w:sz="1"/>
              <w:left w:val="single" w:color="CCCCCC" w:sz="1"/>
              <w:bottom w:val="single" w:color="CCCCCC" w:sz="1"/>
              <w:right w:val="single" w:color="CCCCCC" w:sz="1"/>
            </w:tcBorders>
          </w:tcPr>
          <w:p>
            <w:r>
              <w:rPr>
                <w:b/>
                <w:bCs/>
              </w:rPr>
              <w:t xml:space="preserve">248</w:t>
            </w:r>
          </w:p>
        </w:tc>
        <w:tc>
          <w:tcPr>
            <w:tcW w:type="dxa" w:w="3000"/>
            <w:tcBorders>
              <w:top w:val="single" w:color="CCCCCC" w:sz="1"/>
              <w:left w:val="single" w:color="CCCCCC" w:sz="1"/>
              <w:bottom w:val="single" w:color="CCCCCC" w:sz="1"/>
              <w:right w:val="single" w:color="CCCCCC" w:sz="1"/>
            </w:tcBorders>
          </w:tcPr>
          <w:p>
            <w:r>
              <w:t xml:space="preserve">2³ × 31</w:t>
            </w:r>
          </w:p>
        </w:tc>
        <w:tc>
          <w:tcPr>
            <w:tcW w:type="dxa" w:w="3360"/>
            <w:tcBorders>
              <w:top w:val="single" w:color="CCCCCC" w:sz="1"/>
              <w:left w:val="single" w:color="CCCCCC" w:sz="1"/>
              <w:bottom w:val="single" w:color="CCCCCC" w:sz="1"/>
              <w:right w:val="single" w:color="CCCCCC" w:sz="1"/>
            </w:tcBorders>
          </w:tcPr>
          <w:p>
            <w:r>
              <w:t xml:space="preserve">E₈ Lie algebra dimension</w:t>
            </w:r>
          </w:p>
        </w:tc>
      </w:tr>
      <w:tr>
        <w:tc>
          <w:tcPr>
            <w:tcW w:type="dxa" w:w="3000"/>
            <w:tcBorders>
              <w:top w:val="single" w:color="CCCCCC" w:sz="1"/>
              <w:left w:val="single" w:color="CCCCCC" w:sz="1"/>
              <w:bottom w:val="single" w:color="CCCCCC" w:sz="1"/>
              <w:right w:val="single" w:color="CCCCCC" w:sz="1"/>
            </w:tcBorders>
            <w:shd w:fill="f8f9fa" w:val="clear"/>
          </w:tcPr>
          <w:p>
            <w:r>
              <w:rPr>
                <w:b/>
                <w:bCs/>
              </w:rPr>
              <w:t xml:space="preserve">24</w:t>
            </w:r>
          </w:p>
        </w:tc>
        <w:tc>
          <w:tcPr>
            <w:tcW w:type="dxa" w:w="3000"/>
            <w:tcBorders>
              <w:top w:val="single" w:color="CCCCCC" w:sz="1"/>
              <w:left w:val="single" w:color="CCCCCC" w:sz="1"/>
              <w:bottom w:val="single" w:color="CCCCCC" w:sz="1"/>
              <w:right w:val="single" w:color="CCCCCC" w:sz="1"/>
            </w:tcBorders>
            <w:shd w:fill="f8f9fa" w:val="clear"/>
          </w:tcPr>
          <w:p>
            <w:r>
              <w:t xml:space="preserve">2³ × 3</w:t>
            </w:r>
          </w:p>
        </w:tc>
        <w:tc>
          <w:tcPr>
            <w:tcW w:type="dxa" w:w="3360"/>
            <w:tcBorders>
              <w:top w:val="single" w:color="CCCCCC" w:sz="1"/>
              <w:left w:val="single" w:color="CCCCCC" w:sz="1"/>
              <w:bottom w:val="single" w:color="CCCCCC" w:sz="1"/>
              <w:right w:val="single" w:color="CCCCCC" w:sz="1"/>
            </w:tcBorders>
            <w:shd w:fill="f8f9fa" w:val="clear"/>
          </w:tcPr>
          <w:p>
            <w:r>
              <w:t xml:space="preserve">Leech lattice dimension</w:t>
            </w:r>
          </w:p>
        </w:tc>
      </w:tr>
      <w:tr>
        <w:tc>
          <w:tcPr>
            <w:tcW w:type="dxa" w:w="3000"/>
            <w:tcBorders>
              <w:top w:val="single" w:color="CCCCCC" w:sz="1"/>
              <w:left w:val="single" w:color="CCCCCC" w:sz="1"/>
              <w:bottom w:val="single" w:color="CCCCCC" w:sz="1"/>
              <w:right w:val="single" w:color="CCCCCC" w:sz="1"/>
            </w:tcBorders>
          </w:tcPr>
          <w:p>
            <w:r>
              <w:rPr>
                <w:b/>
                <w:bCs/>
              </w:rPr>
              <w:t xml:space="preserve">513</w:t>
            </w:r>
          </w:p>
        </w:tc>
        <w:tc>
          <w:tcPr>
            <w:tcW w:type="dxa" w:w="3000"/>
            <w:tcBorders>
              <w:top w:val="single" w:color="CCCCCC" w:sz="1"/>
              <w:left w:val="single" w:color="CCCCCC" w:sz="1"/>
              <w:bottom w:val="single" w:color="CCCCCC" w:sz="1"/>
              <w:right w:val="single" w:color="CCCCCC" w:sz="1"/>
            </w:tcBorders>
          </w:tcPr>
          <w:p>
            <w:r>
              <w:t xml:space="preserve">27 × 19</w:t>
            </w:r>
          </w:p>
        </w:tc>
        <w:tc>
          <w:tcPr>
            <w:tcW w:type="dxa" w:w="3360"/>
            <w:tcBorders>
              <w:top w:val="single" w:color="CCCCCC" w:sz="1"/>
              <w:left w:val="single" w:color="CCCCCC" w:sz="1"/>
              <w:bottom w:val="single" w:color="CCCCCC" w:sz="1"/>
              <w:right w:val="single" w:color="CCCCCC" w:sz="1"/>
            </w:tcBorders>
          </w:tcPr>
          <w:p>
            <w:r>
              <w:t xml:space="preserve">Atlas orbit count</w:t>
            </w:r>
          </w:p>
        </w:tc>
      </w:tr>
      <w:tr>
        <w:tc>
          <w:tcPr>
            <w:tcW w:type="dxa" w:w="3000"/>
            <w:tcBorders>
              <w:top w:val="single" w:color="CCCCCC" w:sz="1"/>
              <w:left w:val="single" w:color="CCCCCC" w:sz="1"/>
              <w:bottom w:val="single" w:color="CCCCCC" w:sz="1"/>
              <w:right w:val="single" w:color="CCCCCC" w:sz="1"/>
            </w:tcBorders>
            <w:shd w:fill="f8f9fa" w:val="clear"/>
          </w:tcPr>
          <w:p>
            <w:r>
              <w:rPr>
                <w:b/>
                <w:bCs/>
              </w:rPr>
              <w:t xml:space="preserve">12,288</w:t>
            </w:r>
          </w:p>
        </w:tc>
        <w:tc>
          <w:tcPr>
            <w:tcW w:type="dxa" w:w="3000"/>
            <w:tcBorders>
              <w:top w:val="single" w:color="CCCCCC" w:sz="1"/>
              <w:left w:val="single" w:color="CCCCCC" w:sz="1"/>
              <w:bottom w:val="single" w:color="CCCCCC" w:sz="1"/>
              <w:right w:val="single" w:color="CCCCCC" w:sz="1"/>
            </w:tcBorders>
            <w:shd w:fill="f8f9fa" w:val="clear"/>
          </w:tcPr>
          <w:p>
            <w:r>
              <w:t xml:space="preserve">2¹² × 3</w:t>
            </w:r>
          </w:p>
        </w:tc>
        <w:tc>
          <w:tcPr>
            <w:tcW w:type="dxa" w:w="3360"/>
            <w:tcBorders>
              <w:top w:val="single" w:color="CCCCCC" w:sz="1"/>
              <w:left w:val="single" w:color="CCCCCC" w:sz="1"/>
              <w:bottom w:val="single" w:color="CCCCCC" w:sz="1"/>
              <w:right w:val="single" w:color="CCCCCC" w:sz="1"/>
            </w:tcBorders>
            <w:shd w:fill="f8f9fa" w:val="clear"/>
          </w:tcPr>
          <w:p>
            <w:r>
              <w:t xml:space="preserve">Atlas boundary cells</w:t>
            </w:r>
          </w:p>
        </w:tc>
      </w:tr>
      <w:tr>
        <w:tc>
          <w:tcPr>
            <w:tcW w:type="dxa" w:w="3000"/>
            <w:tcBorders>
              <w:top w:val="single" w:color="CCCCCC" w:sz="1"/>
              <w:left w:val="single" w:color="CCCCCC" w:sz="1"/>
              <w:bottom w:val="single" w:color="CCCCCC" w:sz="1"/>
              <w:right w:val="single" w:color="CCCCCC" w:sz="1"/>
            </w:tcBorders>
          </w:tcPr>
          <w:p>
            <w:r>
              <w:rPr>
                <w:b/>
                <w:bCs/>
              </w:rPr>
              <w:t xml:space="preserve">2,048</w:t>
            </w:r>
          </w:p>
        </w:tc>
        <w:tc>
          <w:tcPr>
            <w:tcW w:type="dxa" w:w="3000"/>
            <w:tcBorders>
              <w:top w:val="single" w:color="CCCCCC" w:sz="1"/>
              <w:left w:val="single" w:color="CCCCCC" w:sz="1"/>
              <w:bottom w:val="single" w:color="CCCCCC" w:sz="1"/>
              <w:right w:val="single" w:color="CCCCCC" w:sz="1"/>
            </w:tcBorders>
          </w:tcPr>
          <w:p>
            <w:r>
              <w:t xml:space="preserve">2¹¹</w:t>
            </w:r>
          </w:p>
        </w:tc>
        <w:tc>
          <w:tcPr>
            <w:tcW w:type="dxa" w:w="3360"/>
            <w:tcBorders>
              <w:top w:val="single" w:color="CCCCCC" w:sz="1"/>
              <w:left w:val="single" w:color="CCCCCC" w:sz="1"/>
              <w:bottom w:val="single" w:color="CCCCCC" w:sz="1"/>
              <w:right w:val="single" w:color="CCCCCC" w:sz="1"/>
            </w:tcBorders>
          </w:tcPr>
          <w:p>
            <w:r>
              <w:t xml:space="preserve">Atlas automorphisms</w:t>
            </w:r>
          </w:p>
        </w:tc>
      </w:tr>
      <w:tr>
        <w:tc>
          <w:tcPr>
            <w:tcW w:type="dxa" w:w="3000"/>
            <w:tcBorders>
              <w:top w:val="single" w:color="CCCCCC" w:sz="1"/>
              <w:left w:val="single" w:color="CCCCCC" w:sz="1"/>
              <w:bottom w:val="single" w:color="CCCCCC" w:sz="1"/>
              <w:right w:val="single" w:color="CCCCCC" w:sz="1"/>
            </w:tcBorders>
            <w:shd w:fill="f8f9fa" w:val="clear"/>
          </w:tcPr>
          <w:p>
            <w:r>
              <w:rPr>
                <w:b/>
                <w:bCs/>
              </w:rPr>
              <w:t xml:space="preserve">32</w:t>
            </w:r>
          </w:p>
        </w:tc>
        <w:tc>
          <w:tcPr>
            <w:tcW w:type="dxa" w:w="3000"/>
            <w:tcBorders>
              <w:top w:val="single" w:color="CCCCCC" w:sz="1"/>
              <w:left w:val="single" w:color="CCCCCC" w:sz="1"/>
              <w:bottom w:val="single" w:color="CCCCCC" w:sz="1"/>
              <w:right w:val="single" w:color="CCCCCC" w:sz="1"/>
            </w:tcBorders>
            <w:shd w:fill="f8f9fa" w:val="clear"/>
          </w:tcPr>
          <w:p>
            <w:r>
              <w:t xml:space="preserve">2⁵</w:t>
            </w:r>
          </w:p>
        </w:tc>
        <w:tc>
          <w:tcPr>
            <w:tcW w:type="dxa" w:w="3360"/>
            <w:tcBorders>
              <w:top w:val="single" w:color="CCCCCC" w:sz="1"/>
              <w:left w:val="single" w:color="CCCCCC" w:sz="1"/>
              <w:bottom w:val="single" w:color="CCCCCC" w:sz="1"/>
              <w:right w:val="single" w:color="CCCCCC" w:sz="1"/>
            </w:tcBorders>
            <w:shd w:fill="f8f9fa" w:val="clear"/>
          </w:tcPr>
          <w:p>
            <w:r>
              <w:t xml:space="preserve">Independent orbit count</w:t>
            </w:r>
          </w:p>
        </w:tc>
      </w:tr>
      <w:tr>
        <w:tc>
          <w:tcPr>
            <w:tcW w:type="dxa" w:w="3000"/>
            <w:tcBorders>
              <w:top w:val="single" w:color="CCCCCC" w:sz="1"/>
              <w:left w:val="single" w:color="CCCCCC" w:sz="1"/>
              <w:bottom w:val="single" w:color="CCCCCC" w:sz="1"/>
              <w:right w:val="single" w:color="CCCCCC" w:sz="1"/>
            </w:tcBorders>
          </w:tcPr>
          <w:p>
            <w:r>
              <w:rPr>
                <w:b/>
                <w:bCs/>
              </w:rPr>
              <w:t xml:space="preserve">720</w:t>
            </w:r>
          </w:p>
        </w:tc>
        <w:tc>
          <w:tcPr>
            <w:tcW w:type="dxa" w:w="3000"/>
            <w:tcBorders>
              <w:top w:val="single" w:color="CCCCCC" w:sz="1"/>
              <w:left w:val="single" w:color="CCCCCC" w:sz="1"/>
              <w:bottom w:val="single" w:color="CCCCCC" w:sz="1"/>
              <w:right w:val="single" w:color="CCCCCC" w:sz="1"/>
            </w:tcBorders>
          </w:tcPr>
          <w:p>
            <w:r>
              <w:t xml:space="preserve">6! = |S₆|</w:t>
            </w:r>
          </w:p>
        </w:tc>
        <w:tc>
          <w:tcPr>
            <w:tcW w:type="dxa" w:w="3360"/>
            <w:tcBorders>
              <w:top w:val="single" w:color="CCCCCC" w:sz="1"/>
              <w:left w:val="single" w:color="CCCCCC" w:sz="1"/>
              <w:bottom w:val="single" w:color="CCCCCC" w:sz="1"/>
              <w:right w:val="single" w:color="CCCCCC" w:sz="1"/>
            </w:tcBorders>
          </w:tcPr>
          <w:p>
            <w:r>
              <w:t xml:space="preserve">Gap: 744 − 24</w:t>
            </w:r>
          </w:p>
        </w:tc>
      </w:tr>
    </w:tbl>
    <w:p>
      <w:pPr>
        <w:spacing w:before="400"/>
      </w:pPr>
    </w:p>
    <w:p>
      <w:pPr>
        <w:pStyle w:val="Heading2"/>
      </w:pPr>
      <w:r>
        <w:t xml:space="preserve">The Six Pariah Groups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200"/>
        <w:gridCol w:w="2560"/>
      </w:tblGrid>
      <w:tr>
        <w:trPr>
          <w:tblHeader/>
        </w:trPr>
        <w:tc>
          <w:tcPr>
            <w:tcW w:type="dxa" w:w="1400"/>
            <w:tcBorders>
              <w:top w:val="single" w:color="CCCCCC" w:sz="1"/>
              <w:left w:val="single" w:color="CCCCCC" w:sz="1"/>
              <w:bottom w:val="single" w:color="CCCCCC" w:sz="1"/>
              <w:right w:val="single" w:color="CCCCCC" w:sz="1"/>
            </w:tcBorders>
            <w:shd w:fill="34495e" w:val="clear"/>
          </w:tcPr>
          <w:p>
            <w:pPr>
              <w:jc w:val="center"/>
            </w:pPr>
            <w:r>
              <w:rPr>
                <w:b/>
                <w:bCs/>
                <w:color w:val="FFFFFF"/>
              </w:rPr>
              <w:t xml:space="preserve">Group</w:t>
            </w:r>
          </w:p>
        </w:tc>
        <w:tc>
          <w:tcPr>
            <w:tcW w:type="dxa" w:w="3200"/>
            <w:tcBorders>
              <w:top w:val="single" w:color="CCCCCC" w:sz="1"/>
              <w:left w:val="single" w:color="CCCCCC" w:sz="1"/>
              <w:bottom w:val="single" w:color="CCCCCC" w:sz="1"/>
              <w:right w:val="single" w:color="CCCCCC" w:sz="1"/>
            </w:tcBorders>
            <w:shd w:fill="34495e" w:val="clear"/>
          </w:tcPr>
          <w:p>
            <w:pPr>
              <w:jc w:val="center"/>
            </w:pPr>
            <w:r>
              <w:rPr>
                <w:b/>
                <w:bCs/>
                <w:color w:val="FFFFFF"/>
              </w:rPr>
              <w:t xml:space="preserve">Order Factorization</w:t>
            </w:r>
          </w:p>
        </w:tc>
        <w:tc>
          <w:tcPr>
            <w:tcW w:type="dxa" w:w="2200"/>
            <w:tcBorders>
              <w:top w:val="single" w:color="CCCCCC" w:sz="1"/>
              <w:left w:val="single" w:color="CCCCCC" w:sz="1"/>
              <w:bottom w:val="single" w:color="CCCCCC" w:sz="1"/>
              <w:right w:val="single" w:color="CCCCCC" w:sz="1"/>
            </w:tcBorders>
            <w:shd w:fill="34495e" w:val="clear"/>
          </w:tcPr>
          <w:p>
            <w:pPr>
              <w:jc w:val="center"/>
            </w:pPr>
            <w:r>
              <w:rPr>
                <w:b/>
                <w:bCs/>
                <w:color w:val="FFFFFF"/>
              </w:rPr>
              <w:t xml:space="preserve">Min Rep</w:t>
            </w:r>
          </w:p>
        </w:tc>
        <w:tc>
          <w:tcPr>
            <w:tcW w:type="dxa" w:w="2560"/>
            <w:tcBorders>
              <w:top w:val="single" w:color="CCCCCC" w:sz="1"/>
              <w:left w:val="single" w:color="CCCCCC" w:sz="1"/>
              <w:bottom w:val="single" w:color="CCCCCC" w:sz="1"/>
              <w:right w:val="single" w:color="CCCCCC" w:sz="1"/>
            </w:tcBorders>
            <w:shd w:fill="34495e" w:val="clear"/>
          </w:tcPr>
          <w:p>
            <w:pPr>
              <w:jc w:val="center"/>
            </w:pPr>
            <w:r>
              <w:rPr>
                <w:b/>
                <w:bCs/>
                <w:color w:val="FFFFFF"/>
              </w:rPr>
              <w:t xml:space="preserve">Axis</w:t>
            </w:r>
          </w:p>
        </w:tc>
      </w:tr>
      <w:tr>
        <w:tc>
          <w:tcPr>
            <w:tcW w:type="dxa" w:w="1400"/>
            <w:tcBorders>
              <w:top w:val="single" w:color="CCCCCC" w:sz="1"/>
              <w:left w:val="single" w:color="CCCCCC" w:sz="1"/>
              <w:bottom w:val="single" w:color="CCCCCC" w:sz="1"/>
              <w:right w:val="single" w:color="CCCCCC" w:sz="1"/>
            </w:tcBorders>
            <w:shd w:fill="f8f9fa" w:val="clear"/>
          </w:tcPr>
          <w:p>
            <w:r>
              <w:rPr>
                <w:b/>
                <w:bCs/>
              </w:rPr>
              <w:t xml:space="preserve">J₁</w:t>
            </w:r>
          </w:p>
        </w:tc>
        <w:tc>
          <w:tcPr>
            <w:tcW w:type="dxa" w:w="3200"/>
            <w:tcBorders>
              <w:top w:val="single" w:color="CCCCCC" w:sz="1"/>
              <w:left w:val="single" w:color="CCCCCC" w:sz="1"/>
              <w:bottom w:val="single" w:color="CCCCCC" w:sz="1"/>
              <w:right w:val="single" w:color="CCCCCC" w:sz="1"/>
            </w:tcBorders>
            <w:shd w:fill="f8f9fa" w:val="clear"/>
          </w:tcPr>
          <w:p>
            <w:r>
              <w:rPr>
                <w:sz w:val="20"/>
                <w:szCs w:val="20"/>
              </w:rPr>
              <w:t xml:space="preserve">2³×3×5×7×11×19</w:t>
            </w:r>
          </w:p>
        </w:tc>
        <w:tc>
          <w:tcPr>
            <w:tcW w:type="dxa" w:w="2200"/>
            <w:tcBorders>
              <w:top w:val="single" w:color="CCCCCC" w:sz="1"/>
              <w:left w:val="single" w:color="CCCCCC" w:sz="1"/>
              <w:bottom w:val="single" w:color="CCCCCC" w:sz="1"/>
              <w:right w:val="single" w:color="CCCCCC" w:sz="1"/>
            </w:tcBorders>
            <w:shd w:fill="f8f9fa" w:val="clear"/>
          </w:tcPr>
          <w:p>
            <w:r>
              <w:t xml:space="preserve">56</w:t>
            </w:r>
          </w:p>
        </w:tc>
        <w:tc>
          <w:tcPr>
            <w:tcW w:type="dxa" w:w="2560"/>
            <w:tcBorders>
              <w:top w:val="single" w:color="CCCCCC" w:sz="1"/>
              <w:left w:val="single" w:color="CCCCCC" w:sz="1"/>
              <w:bottom w:val="single" w:color="CCCCCC" w:sz="1"/>
              <w:right w:val="single" w:color="CCCCCC" w:sz="1"/>
            </w:tcBorders>
            <w:shd w:fill="f8f9fa" w:val="clear"/>
          </w:tcPr>
          <w:p>
            <w:r>
              <w:t xml:space="preserve">19-axis</w:t>
            </w:r>
          </w:p>
        </w:tc>
      </w:tr>
      <w:tr>
        <w:tc>
          <w:tcPr>
            <w:tcW w:type="dxa" w:w="1400"/>
            <w:tcBorders>
              <w:top w:val="single" w:color="CCCCCC" w:sz="1"/>
              <w:left w:val="single" w:color="CCCCCC" w:sz="1"/>
              <w:bottom w:val="single" w:color="CCCCCC" w:sz="1"/>
              <w:right w:val="single" w:color="CCCCCC" w:sz="1"/>
            </w:tcBorders>
          </w:tcPr>
          <w:p>
            <w:r>
              <w:rPr>
                <w:b/>
                <w:bCs/>
              </w:rPr>
              <w:t xml:space="preserve">J₃</w:t>
            </w:r>
          </w:p>
        </w:tc>
        <w:tc>
          <w:tcPr>
            <w:tcW w:type="dxa" w:w="3200"/>
            <w:tcBorders>
              <w:top w:val="single" w:color="CCCCCC" w:sz="1"/>
              <w:left w:val="single" w:color="CCCCCC" w:sz="1"/>
              <w:bottom w:val="single" w:color="CCCCCC" w:sz="1"/>
              <w:right w:val="single" w:color="CCCCCC" w:sz="1"/>
            </w:tcBorders>
          </w:tcPr>
          <w:p>
            <w:r>
              <w:rPr>
                <w:sz w:val="20"/>
                <w:szCs w:val="20"/>
              </w:rPr>
              <w:t xml:space="preserve">2⁷×3⁵×5×17×19</w:t>
            </w:r>
          </w:p>
        </w:tc>
        <w:tc>
          <w:tcPr>
            <w:tcW w:type="dxa" w:w="2200"/>
            <w:tcBorders>
              <w:top w:val="single" w:color="CCCCCC" w:sz="1"/>
              <w:left w:val="single" w:color="CCCCCC" w:sz="1"/>
              <w:bottom w:val="single" w:color="CCCCCC" w:sz="1"/>
              <w:right w:val="single" w:color="CCCCCC" w:sz="1"/>
            </w:tcBorders>
          </w:tcPr>
          <w:p>
            <w:r>
              <w:t xml:space="preserve">85</w:t>
            </w:r>
          </w:p>
        </w:tc>
        <w:tc>
          <w:tcPr>
            <w:tcW w:type="dxa" w:w="2560"/>
            <w:tcBorders>
              <w:top w:val="single" w:color="CCCCCC" w:sz="1"/>
              <w:left w:val="single" w:color="CCCCCC" w:sz="1"/>
              <w:bottom w:val="single" w:color="CCCCCC" w:sz="1"/>
              <w:right w:val="single" w:color="CCCCCC" w:sz="1"/>
            </w:tcBorders>
          </w:tcPr>
          <w:p>
            <w:r>
              <w:t xml:space="preserve">19-axis</w:t>
            </w:r>
          </w:p>
        </w:tc>
      </w:tr>
      <w:tr>
        <w:tc>
          <w:tcPr>
            <w:tcW w:type="dxa" w:w="1400"/>
            <w:tcBorders>
              <w:top w:val="single" w:color="CCCCCC" w:sz="1"/>
              <w:left w:val="single" w:color="CCCCCC" w:sz="1"/>
              <w:bottom w:val="single" w:color="CCCCCC" w:sz="1"/>
              <w:right w:val="single" w:color="CCCCCC" w:sz="1"/>
            </w:tcBorders>
            <w:shd w:fill="f8f9fa" w:val="clear"/>
          </w:tcPr>
          <w:p>
            <w:r>
              <w:rPr>
                <w:b/>
                <w:bCs/>
              </w:rPr>
              <w:t xml:space="preserve">J₄</w:t>
            </w:r>
          </w:p>
        </w:tc>
        <w:tc>
          <w:tcPr>
            <w:tcW w:type="dxa" w:w="3200"/>
            <w:tcBorders>
              <w:top w:val="single" w:color="CCCCCC" w:sz="1"/>
              <w:left w:val="single" w:color="CCCCCC" w:sz="1"/>
              <w:bottom w:val="single" w:color="CCCCCC" w:sz="1"/>
              <w:right w:val="single" w:color="CCCCCC" w:sz="1"/>
            </w:tcBorders>
            <w:shd w:fill="f8f9fa" w:val="clear"/>
          </w:tcPr>
          <w:p>
            <w:r>
              <w:rPr>
                <w:sz w:val="20"/>
                <w:szCs w:val="20"/>
              </w:rPr>
              <w:t xml:space="preserve">2²¹×3³×5×7×11³×23×29×31×37×43</w:t>
            </w:r>
          </w:p>
        </w:tc>
        <w:tc>
          <w:tcPr>
            <w:tcW w:type="dxa" w:w="2200"/>
            <w:tcBorders>
              <w:top w:val="single" w:color="CCCCCC" w:sz="1"/>
              <w:left w:val="single" w:color="CCCCCC" w:sz="1"/>
              <w:bottom w:val="single" w:color="CCCCCC" w:sz="1"/>
              <w:right w:val="single" w:color="CCCCCC" w:sz="1"/>
            </w:tcBorders>
            <w:shd w:fill="f8f9fa" w:val="clear"/>
          </w:tcPr>
          <w:p>
            <w:r>
              <w:t xml:space="preserve">1333</w:t>
            </w:r>
          </w:p>
        </w:tc>
        <w:tc>
          <w:tcPr>
            <w:tcW w:type="dxa" w:w="2560"/>
            <w:tcBorders>
              <w:top w:val="single" w:color="CCCCCC" w:sz="1"/>
              <w:left w:val="single" w:color="CCCCCC" w:sz="1"/>
              <w:bottom w:val="single" w:color="CCCCCC" w:sz="1"/>
              <w:right w:val="single" w:color="CCCCCC" w:sz="1"/>
            </w:tcBorders>
            <w:shd w:fill="f8f9fa" w:val="clear"/>
          </w:tcPr>
          <w:p>
            <w:r>
              <w:t xml:space="preserve">31-axis</w:t>
            </w:r>
          </w:p>
        </w:tc>
      </w:tr>
      <w:tr>
        <w:tc>
          <w:tcPr>
            <w:tcW w:type="dxa" w:w="1400"/>
            <w:tcBorders>
              <w:top w:val="single" w:color="CCCCCC" w:sz="1"/>
              <w:left w:val="single" w:color="CCCCCC" w:sz="1"/>
              <w:bottom w:val="single" w:color="CCCCCC" w:sz="1"/>
              <w:right w:val="single" w:color="CCCCCC" w:sz="1"/>
            </w:tcBorders>
          </w:tcPr>
          <w:p>
            <w:r>
              <w:rPr>
                <w:b/>
                <w:bCs/>
              </w:rPr>
              <w:t xml:space="preserve">O'N</w:t>
            </w:r>
          </w:p>
        </w:tc>
        <w:tc>
          <w:tcPr>
            <w:tcW w:type="dxa" w:w="3200"/>
            <w:tcBorders>
              <w:top w:val="single" w:color="CCCCCC" w:sz="1"/>
              <w:left w:val="single" w:color="CCCCCC" w:sz="1"/>
              <w:bottom w:val="single" w:color="CCCCCC" w:sz="1"/>
              <w:right w:val="single" w:color="CCCCCC" w:sz="1"/>
            </w:tcBorders>
          </w:tcPr>
          <w:p>
            <w:r>
              <w:rPr>
                <w:sz w:val="20"/>
                <w:szCs w:val="20"/>
              </w:rPr>
              <w:t xml:space="preserve">2⁹×3⁴×5×7³×11×19×31</w:t>
            </w:r>
          </w:p>
        </w:tc>
        <w:tc>
          <w:tcPr>
            <w:tcW w:type="dxa" w:w="2200"/>
            <w:tcBorders>
              <w:top w:val="single" w:color="CCCCCC" w:sz="1"/>
              <w:left w:val="single" w:color="CCCCCC" w:sz="1"/>
              <w:bottom w:val="single" w:color="CCCCCC" w:sz="1"/>
              <w:right w:val="single" w:color="CCCCCC" w:sz="1"/>
            </w:tcBorders>
          </w:tcPr>
          <w:p>
            <w:r>
              <w:t xml:space="preserve">154</w:t>
            </w:r>
          </w:p>
        </w:tc>
        <w:tc>
          <w:tcPr>
            <w:tcW w:type="dxa" w:w="2560"/>
            <w:tcBorders>
              <w:top w:val="single" w:color="CCCCCC" w:sz="1"/>
              <w:left w:val="single" w:color="CCCCCC" w:sz="1"/>
              <w:bottom w:val="single" w:color="CCCCCC" w:sz="1"/>
              <w:right w:val="single" w:color="CCCCCC" w:sz="1"/>
            </w:tcBorders>
          </w:tcPr>
          <w:p>
            <w:r>
              <w:t xml:space="preserve">Both axes</w:t>
            </w:r>
          </w:p>
        </w:tc>
      </w:tr>
      <w:tr>
        <w:tc>
          <w:tcPr>
            <w:tcW w:type="dxa" w:w="1400"/>
            <w:tcBorders>
              <w:top w:val="single" w:color="CCCCCC" w:sz="1"/>
              <w:left w:val="single" w:color="CCCCCC" w:sz="1"/>
              <w:bottom w:val="single" w:color="CCCCCC" w:sz="1"/>
              <w:right w:val="single" w:color="CCCCCC" w:sz="1"/>
            </w:tcBorders>
            <w:shd w:fill="f8f9fa" w:val="clear"/>
          </w:tcPr>
          <w:p>
            <w:r>
              <w:rPr>
                <w:b/>
                <w:bCs/>
              </w:rPr>
              <w:t xml:space="preserve">Ru</w:t>
            </w:r>
          </w:p>
        </w:tc>
        <w:tc>
          <w:tcPr>
            <w:tcW w:type="dxa" w:w="3200"/>
            <w:tcBorders>
              <w:top w:val="single" w:color="CCCCCC" w:sz="1"/>
              <w:left w:val="single" w:color="CCCCCC" w:sz="1"/>
              <w:bottom w:val="single" w:color="CCCCCC" w:sz="1"/>
              <w:right w:val="single" w:color="CCCCCC" w:sz="1"/>
            </w:tcBorders>
            <w:shd w:fill="f8f9fa" w:val="clear"/>
          </w:tcPr>
          <w:p>
            <w:r>
              <w:rPr>
                <w:sz w:val="20"/>
                <w:szCs w:val="20"/>
              </w:rPr>
              <w:t xml:space="preserve">2¹⁴×3³×5³×7×13×29</w:t>
            </w:r>
          </w:p>
        </w:tc>
        <w:tc>
          <w:tcPr>
            <w:tcW w:type="dxa" w:w="2200"/>
            <w:tcBorders>
              <w:top w:val="single" w:color="CCCCCC" w:sz="1"/>
              <w:left w:val="single" w:color="CCCCCC" w:sz="1"/>
              <w:bottom w:val="single" w:color="CCCCCC" w:sz="1"/>
              <w:right w:val="single" w:color="CCCCCC" w:sz="1"/>
            </w:tcBorders>
            <w:shd w:fill="f8f9fa" w:val="clear"/>
          </w:tcPr>
          <w:p>
            <w:r>
              <w:t xml:space="preserve">378</w:t>
            </w:r>
          </w:p>
        </w:tc>
        <w:tc>
          <w:tcPr>
            <w:tcW w:type="dxa" w:w="2560"/>
            <w:tcBorders>
              <w:top w:val="single" w:color="CCCCCC" w:sz="1"/>
              <w:left w:val="single" w:color="CCCCCC" w:sz="1"/>
              <w:bottom w:val="single" w:color="CCCCCC" w:sz="1"/>
              <w:right w:val="single" w:color="CCCCCC" w:sz="1"/>
            </w:tcBorders>
            <w:shd w:fill="f8f9fa" w:val="clear"/>
          </w:tcPr>
          <w:p>
            <w:r>
              <w:t xml:space="preserve">Isolated</w:t>
            </w:r>
          </w:p>
        </w:tc>
      </w:tr>
      <w:tr>
        <w:tc>
          <w:tcPr>
            <w:tcW w:type="dxa" w:w="1400"/>
            <w:tcBorders>
              <w:top w:val="single" w:color="CCCCCC" w:sz="1"/>
              <w:left w:val="single" w:color="CCCCCC" w:sz="1"/>
              <w:bottom w:val="single" w:color="CCCCCC" w:sz="1"/>
              <w:right w:val="single" w:color="CCCCCC" w:sz="1"/>
            </w:tcBorders>
          </w:tcPr>
          <w:p>
            <w:r>
              <w:rPr>
                <w:b/>
                <w:bCs/>
              </w:rPr>
              <w:t xml:space="preserve">Ly</w:t>
            </w:r>
          </w:p>
        </w:tc>
        <w:tc>
          <w:tcPr>
            <w:tcW w:type="dxa" w:w="3200"/>
            <w:tcBorders>
              <w:top w:val="single" w:color="CCCCCC" w:sz="1"/>
              <w:left w:val="single" w:color="CCCCCC" w:sz="1"/>
              <w:bottom w:val="single" w:color="CCCCCC" w:sz="1"/>
              <w:right w:val="single" w:color="CCCCCC" w:sz="1"/>
            </w:tcBorders>
          </w:tcPr>
          <w:p>
            <w:r>
              <w:rPr>
                <w:sz w:val="20"/>
                <w:szCs w:val="20"/>
              </w:rPr>
              <w:t xml:space="preserve">2⁸×3⁷×5⁶×7×11×31×37×67</w:t>
            </w:r>
          </w:p>
        </w:tc>
        <w:tc>
          <w:tcPr>
            <w:tcW w:type="dxa" w:w="2200"/>
            <w:tcBorders>
              <w:top w:val="single" w:color="CCCCCC" w:sz="1"/>
              <w:left w:val="single" w:color="CCCCCC" w:sz="1"/>
              <w:bottom w:val="single" w:color="CCCCCC" w:sz="1"/>
              <w:right w:val="single" w:color="CCCCCC" w:sz="1"/>
            </w:tcBorders>
          </w:tcPr>
          <w:p>
            <w:r>
              <w:t xml:space="preserve">2480</w:t>
            </w:r>
          </w:p>
        </w:tc>
        <w:tc>
          <w:tcPr>
            <w:tcW w:type="dxa" w:w="2560"/>
            <w:tcBorders>
              <w:top w:val="single" w:color="CCCCCC" w:sz="1"/>
              <w:left w:val="single" w:color="CCCCCC" w:sz="1"/>
              <w:bottom w:val="single" w:color="CCCCCC" w:sz="1"/>
              <w:right w:val="single" w:color="CCCCCC" w:sz="1"/>
            </w:tcBorders>
          </w:tcPr>
          <w:p>
            <w:r>
              <w:t xml:space="preserve">31-axis</w:t>
            </w:r>
          </w:p>
        </w:tc>
      </w:tr>
    </w:tbl>
    <w:p>
      <w:pPr>
        <w:spacing w:before="600"/>
      </w:pPr>
    </w:p>
    <w:p>
      <w:pPr>
        <w:spacing w:before="400"/>
        <w:jc w:val="center"/>
      </w:pPr>
      <w:r>
        <w:rPr>
          <w:color w:val="2c3e50"/>
          <w:sz w:val="36"/>
          <w:szCs w:val="36"/>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t>
    </w:r>
    <w:r>
      <w:rPr>
        <w:sz w:val="20"/>
        <w:szCs w:val="20"/>
      </w:rPr>
      <w:fldChar w:fldCharType="begin"/>
      <w:instrText xml:space="preserve">PAGE</w:instrText>
      <w:fldChar w:fldCharType="separate"/>
      <w:fldChar w:fldCharType="end"/>
    </w:r>
    <w:r>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20"/>
        <w:szCs w:val="20"/>
      </w:rPr>
      <w:t xml:space="preserve">Atlas: A Comprehensive Introduction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00"/>
      <w:jc w:val="center"/>
    </w:pPr>
    <w:rPr>
      <w:rFonts w:ascii="Georgia" w:cs="Georgia" w:eastAsia="Georgia" w:hAnsi="Georgia"/>
      <w:b/>
      <w:bCs/>
      <w:color w:val="1a1a1a"/>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2c3e50"/>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34495e"/>
      <w:sz w:val="28"/>
      <w:szCs w:val="28"/>
    </w:rPr>
  </w:style>
  <w:style w:type="paragraph" w:styleId="Heading3">
    <w:name w:val="Heading 3"/>
    <w:basedOn w:val="Normal"/>
    <w:next w:val="Normal"/>
    <w:qFormat/>
    <w:pPr>
      <w:spacing w:before="240" w:after="120"/>
      <w:outlineLvl w:val="2"/>
    </w:pPr>
    <w:rPr>
      <w:rFonts w:ascii="Georgia" w:cs="Georgia" w:eastAsia="Georgia" w:hAnsi="Georgia"/>
      <w:b/>
      <w:bCs/>
      <w:i/>
      <w:iCs/>
      <w:color w:val="5d6d7e"/>
      <w:sz w:val="24"/>
      <w:szCs w:val="24"/>
    </w:rPr>
  </w:style>
  <w:style w:type="paragraph" w:styleId="Quote">
    <w:name w:val="Quote"/>
    <w:basedOn w:val="Normal"/>
    <w:pPr>
      <w:spacing w:before="200" w:after="200"/>
      <w:ind w:left="720" w:right="720"/>
    </w:pPr>
    <w:rPr>
      <w:rFonts w:ascii="Georgia" w:cs="Georgia" w:eastAsia="Georgia" w:hAnsi="Georgia"/>
      <w:i/>
      <w:iCs/>
      <w:color w:val="555555"/>
      <w:sz w:val="24"/>
      <w:szCs w:val="24"/>
    </w:rPr>
  </w:style>
  <w:style w:type="paragraph" w:styleId="Subtitle">
    <w:name w:val="Subtitle"/>
    <w:basedOn w:val="Normal"/>
    <w:pPr>
      <w:spacing w:before="0" w:after="600"/>
      <w:jc w:val="center"/>
    </w:pPr>
    <w:rPr>
      <w:rFonts w:ascii="Georgia" w:cs="Georgia" w:eastAsia="Georgia" w:hAnsi="Georgia"/>
      <w:i/>
      <w:iCs/>
      <w:color w:val="6666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2025-12-03T21:09:04.512Z</dcterms:created>
  <dcterms:modified xsi:type="dcterms:W3CDTF">2025-12-03T21:09:04.513Z</dcterms:modified>
</cp:coreProperties>
</file>

<file path=docProps/custom.xml><?xml version="1.0" encoding="utf-8"?>
<Properties xmlns="http://schemas.openxmlformats.org/officeDocument/2006/custom-properties" xmlns:vt="http://schemas.openxmlformats.org/officeDocument/2006/docPropsVTypes"/>
</file>