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Approval Note</w:t>
      </w:r>
    </w:p>
    <w:p>
      <w:r>
        <w:t>Corrosion observed at P-101 discharge flange.</w:t>
      </w:r>
    </w:p>
    <w:p>
      <w:pPr>
        <w:pStyle w:val="ListBullet"/>
      </w:pPr>
      <w:r>
        <w:t>Replace gasket in 7 days</w:t>
      </w:r>
    </w:p>
    <w:p>
      <w:pPr>
        <w:pStyle w:val="ListBullet"/>
      </w:pPr>
      <w:r>
        <w:t>Recalibrate gauge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Finding</w:t>
            </w:r>
          </w:p>
        </w:tc>
        <w:tc>
          <w:tcPr>
            <w:tcW w:type="dxa" w:w="4320"/>
          </w:tcPr>
          <w:p>
            <w:r>
              <w:t>Risk</w:t>
            </w:r>
          </w:p>
        </w:tc>
      </w:tr>
      <w:tr>
        <w:tc>
          <w:tcPr>
            <w:tcW w:type="dxa" w:w="4320"/>
          </w:tcPr>
          <w:p>
            <w:r>
              <w:t>Flange corrosion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