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 TEC is defined as a result, a consequence, of the ionospheric conditions, and not their descriptor</w:t>
      </w:r>
      <w:r>
        <w:t xml:space="preserve"> </w:t>
      </w:r>
      <w:r>
        <w:t xml:space="preserve">.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 TEC, as given in Equation </w:t>
      </w:r>
      <w:hyperlink w:anchor="eqn:3">
        <w:r>
          <w:rPr>
            <w:rStyle w:val="Hyperlink"/>
          </w:rPr>
          <w:t xml:space="preserve">[eqn:3]</w:t>
        </w:r>
      </w:hyperlink>
      <w:r>
        <w:t xml:space="preserve">,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 on the radio ray path between satellite and receiver is defined in Equation </w:t>
      </w:r>
      <w:hyperlink w:anchor="eqn:6">
        <w:r>
          <w:rPr>
            <w:rStyle w:val="Hyperlink"/>
          </w:rPr>
          <w:t xml:space="preserve">[eqn:6]</w:t>
        </w:r>
      </w:hyperlink>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w:t>
      </w:r>
      <w:r>
        <w:t xml:space="preserve"> </w:t>
      </w:r>
      <w:r>
        <w:t xml:space="preserve"> </w:t>
      </w:r>
      <w:r>
        <w:t xml:space="preserve">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 TEC and GPS pseudo-range measurements can be established in Equation </w:t>
      </w:r>
      <w:hyperlink w:anchor="eqn:13">
        <w:r>
          <w:rPr>
            <w:rStyle w:val="Hyperlink"/>
          </w:rPr>
          <w:t xml:space="preserve">[eqn:13]</w:t>
        </w:r>
      </w:hyperlink>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 TEC. The actual value of the TEC 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w:t>
      </w:r>
      <w:hyperlink w:anchor="eqn:15">
        <w:r>
          <w:rPr>
            <w:rStyle w:val="Hyperlink"/>
          </w:rPr>
          <w:t xml:space="preserve">[eqn:15]</w:t>
        </w:r>
      </w:hyperlink>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2024-10-16T18:01:59Z</dcterms:created>
  <dcterms:modified xsi:type="dcterms:W3CDTF">2024-10-16T18:01:59Z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