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[14, 15].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[16, 17]. A network with at least two hidden layers [18]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[19]. Gradient-based methods such as backpropagation are usually used to estimate network parameters [19]. During the training phase, ANNs learn from labeled training data by iteratively updating their parameters to minimize a defined loss function [20].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[21]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[22]. AutoML and AutoKeras [23]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[24].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[25].</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[26],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[27]. Support Vector Clustering [28]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[29].</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[30]. Minimum-maximum, normalization by decimal scaling, and Z-score [31] are among many standardization methods. Subtracting the mean and dividing by the variance for each feature is commonly used for SVM [32].</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[33]. Intuitively, a good separation is achieved by the hyperplane with the greatest distance to the nearest point in the training data belonging to any class (the so-called functional margin), because the generalization error of the classifier decreases with increasing margin [34].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[26]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[35].</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4">
        <w:r>
          <w:rPr>
            <w:rStyle w:val="Hyperlink"/>
          </w:rPr>
          <w:t xml:space="preserve">[eqn:4]</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[36]. Some methods for shallow semantic parsing are based on SVMs [37].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[38, 39].</w:t>
      </w:r>
    </w:p>
    <w:p>
      <w:pPr>
        <w:pStyle w:val="BodyText"/>
      </w:pPr>
      <w:r>
        <w:t xml:space="preserve">Classification of satellite data such as Synthetic Aperture Radar (SAR) data is possible using a supervised SVM [40]. Handwritten characters can be recognized using SVM [41, 42].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[43, 44]. SVM weights were also used to interpret SVM models [45].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5">
        <w:r>
          <w:rPr>
            <w:rStyle w:val="Hyperlink"/>
          </w:rPr>
          <w:t xml:space="preserve">[eqn:5]</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[26] was first proposed by Aizerman et al. [46].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[47].</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6">
        <w:r>
          <w:rPr>
            <w:rStyle w:val="Hyperlink"/>
          </w:rPr>
          <w:t xml:space="preserve">[eqn:6]</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7">
        <w:r>
          <w:rPr>
            <w:rStyle w:val="Hyperlink"/>
          </w:rPr>
          <w:t xml:space="preserve">[eqn:7]</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[48].</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[49].</w:t>
      </w:r>
    </w:p>
    <w:p>
      <w:pPr>
        <w:pStyle w:val="BodyText"/>
      </w:pPr>
      <w:r>
        <w:t xml:space="preserve">Decision Trees are among the most popular machine learning algorithms due to their comprehensibility and simplicity [50].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[51].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[52].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[53] is an example of a greedy algorithm and is by far the most common strategy for learning Decision Trees from data [54].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[55].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[57]. These names refer to Bayes’ theorem in the classifier’s decision rule, but a Naive Bayesian classifier is not necessarily a Bayesian method [56, 57].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 However, a comprehensive comparison with other classification algorithms in 2006 showed that Bayesian classification performed worse than other approaches, such as boosted trees or random forests [59]. The advantage of Naive Bayes is that it requires only a small amount of training data to estimate the parameters needed for classification [60].</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[61].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8">
        <w:r>
          <w:rPr>
            <w:rStyle w:val="Hyperlink"/>
          </w:rPr>
          <w:t xml:space="preserve">[eqn:8]</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9">
        <w:r>
          <w:rPr>
            <w:rStyle w:val="Hyperlink"/>
          </w:rPr>
          <w:t xml:space="preserve">[eqn:9]</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10">
        <w:r>
          <w:rPr>
            <w:rStyle w:val="Hyperlink"/>
          </w:rPr>
          <w:t xml:space="preserve">[eqn:10]</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11">
        <w:r>
          <w:rPr>
            <w:rStyle w:val="Hyperlink"/>
          </w:rPr>
          <w:t xml:space="preserve">[eqn:11]</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12">
        <w:r>
          <w:rPr>
            <w:rStyle w:val="Hyperlink"/>
          </w:rPr>
          <w:t xml:space="preserve">[eqn:12]</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3">
        <w:r>
          <w:rPr>
            <w:rStyle w:val="Hyperlink"/>
          </w:rPr>
          <w:t xml:space="preserve">[eqn:13]</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4">
        <w:r>
          <w:rPr>
            <w:rStyle w:val="Hyperlink"/>
          </w:rPr>
          <w:t xml:space="preserve">[eqn:14]</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5">
        <w:r>
          <w:rPr>
            <w:rStyle w:val="Hyperlink"/>
          </w:rPr>
          <w:t xml:space="preserve">[eqn:15]</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[62]. Assumptions about the distribution of features are called an event model or Bayesian classifier, which can introduce confusion by creating both a continuous and discrete model [63, 64].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6">
        <w:r>
          <w:rPr>
            <w:rStyle w:val="Hyperlink"/>
          </w:rPr>
          <w:t xml:space="preserve">[eqn:16]</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[57].</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[62], can significantly increase the accuracy of the classifier [65, 34].</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[66, 67],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[68].</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[69], shown in Equation </w:t>
      </w:r>
      <w:hyperlink w:anchor="eqn:17">
        <w:r>
          <w:rPr>
            <w:rStyle w:val="Hyperlink"/>
          </w:rPr>
          <w:t xml:space="preserve">[eqn:17]</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[70, 71, 72, 73, 74, 67].</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[75].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[76].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[77],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[78], variable interactions are automatically noted [79], it is complex but execution time and computational load are adequate [80]. The algorithm is not significantly affected by outliers [81].</w:t>
      </w:r>
    </w:p>
    <w:p>
      <w:pPr>
        <w:pStyle w:val="BodyText"/>
      </w:pPr>
      <w:r>
        <w:t xml:space="preserve">Modifying different settings has a high impact on FDA [82], and the estimation might be unsuccessful if the predictor distributions are highly correlated. FDA is prone to overfitting [83], and challenging to comprehend or explain [84]. The assumption of normality for the continuous independent variables is necessary [85]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8">
        <w:r>
          <w:rPr>
            <w:rStyle w:val="Hyperlink"/>
          </w:rPr>
          <w:t xml:space="preserve">[eqn:18]</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[86]. LDA finds a linear combination of features differentiating two or more sample classes in statistics and other research. The features may be utilized directly or to reduce dimensionality before classification, which is more often used [87].</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[88, 89]. Discriminant analysis has continuous independent variables and a categorical dependent variable representing the groups [90].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[91].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[92, 93] can similarly handle categorical independent variables. The groups are unknown in cluster analysis, which is not the case in discriminant analysis. Points in discriminant function analysis are rated based on quantitative predictors and a group measure [94]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[95].</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9">
        <w:r>
          <w:rPr>
            <w:rStyle w:val="Hyperlink"/>
          </w:rPr>
          <w:t xml:space="preserve">[eqn:19]</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20">
        <w:r>
          <w:rPr>
            <w:rStyle w:val="Hyperlink"/>
          </w:rPr>
          <w:t xml:space="preserve">[eqn:20]</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21">
        <w:r>
          <w:rPr>
            <w:rStyle w:val="Hyperlink"/>
          </w:rPr>
          <w:t xml:space="preserve">[eqn:21]</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[94]. In every level of the grouping variable, independent variables must be normal to achieve multivariate normality [94, 87]. Box’s M statistic [87]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[94]. The scores of one predictor variable should not depend on other predictor variables for any sample, and the samples should be chosen at random [94, 87]. Discriminant analysis can handle small deviations from these requirements [96] and may be used even if multivariate normality is not achieved, such as for dichotomous variables [97].</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[98].</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[99].</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[98].</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[98].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[94]. Eigenvalues do not have an upper limit [94, 87],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[94].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[87]. Canonical correlation is a more established measure of effect size similar to the eigenvalue, representing the correlation between groups and the function [87],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[87]. The percent of correctly classified data, such as the kappa value, can also be used as the effect size while accounting for random matches in classification [87]. Kappa is not biased for any particular class, whether performance is high or low, and instead normalizes across all classes [100].</w:t>
      </w:r>
    </w:p>
    <w:p>
      <w:pPr>
        <w:pStyle w:val="BodyText"/>
      </w:pPr>
      <w:r>
        <w:t xml:space="preserve">Fisher’s linear discriminant and LDA are sometimes considered synonyms. However, Fisher [88]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22">
        <w:r>
          <w:rPr>
            <w:rStyle w:val="Hyperlink"/>
          </w:rPr>
          <w:t xml:space="preserve">[eqn:22]</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w:t>
      </w:r>
      <w:hyperlink w:anchor="eqn:23">
        <w:r>
          <w:rPr>
            <w:rStyle w:val="Hyperlink"/>
          </w:rPr>
          <w:t xml:space="preserve">[eqn:23]</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[99] for multiple groups, as suggested by C. R. Rao [101]. Then class variability is defined by the sample covariance of the class means in Equation </w:t>
      </w:r>
      <w:hyperlink w:anchor="eqn:24">
        <w:r>
          <w:rPr>
            <w:rStyle w:val="Hyperlink"/>
          </w:rPr>
          <w:t xml:space="preserve">[eqn:24]</w:t>
        </w:r>
      </w:hyperlink>
      <w:r>
        <w:t xml:space="preserve"> </w:t>
      </w:r>
      <w:r>
        <w:t xml:space="preserve">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5">
        <w:r>
          <w:rPr>
            <w:rStyle w:val="Hyperlink"/>
          </w:rPr>
          <w:t xml:space="preserve">[eqn:25]</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[102].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[103].</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[104, 105, 106, 107]. CCA does the same for the cross-covariance between two datasets. Robust and L1-norm-based variants of standard PCA have also been proposed [107, 108, 109, 110].</w:t>
      </w:r>
    </w:p>
    <w:p>
      <w:pPr>
        <w:pStyle w:val="BodyText"/>
      </w:pPr>
      <w:r>
        <w:t xml:space="preserve">Karl Pearson [111] conceived of PCA in 1901 as a counterpart of the principal axis theorem in mechanics [112]. Harold Hotelling discovered the Hotelling transform in multivariate quality control in the 1930s without knowledge of the previous work [113, 114]. Synonyms for PCA include the discrete proper orthogonal decomposition (POD) [115, 116, 117, 118] in mechanical engineering and the Kosambiâ€“Karhunenâ€“LoÃ¨ve or Karhunenâ€“LoÃ¨ve theorem (KLT) [119, 120, 121, 122, 123, 124] in signal processing. Singular value decomposition (SVD) of X, established in the final quarter of the 19th century [125],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[126, 127]. Factor analysis differs in several key features [128], but has many aspects in common with PCA. Empirical orthogonal functions (EOF) [129] in meteorological science were developed by Lorenz in 1956 [129]. The Eckartâ€“Young theorem [130] and quasiharmonic modes [131]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[128].</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w:t>
      </w:r>
      <w:hyperlink w:anchor="eqn:26">
        <w:r>
          <w:rPr>
            <w:rStyle w:val="Hyperlink"/>
          </w:rPr>
          <w:t xml:space="preserve">[eqn:26]</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7">
        <w:r>
          <w:rPr>
            <w:rStyle w:val="Hyperlink"/>
          </w:rPr>
          <w:t xml:space="preserve">[eqn:27]</w:t>
        </w:r>
      </w:hyperlink>
      <w:r>
        <w:t xml:space="preserve"> </w:t>
      </w:r>
      <w:r>
        <w:t xml:space="preserve">has maximum variance, with the matrix form in Equation </w:t>
      </w:r>
      <w:hyperlink w:anchor="eqn:28">
        <w:r>
          <w:rPr>
            <w:rStyle w:val="Hyperlink"/>
          </w:rPr>
          <w:t xml:space="preserve">[eqn:28]</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9">
        <w:r>
          <w:rPr>
            <w:rStyle w:val="Hyperlink"/>
          </w:rPr>
          <w:t xml:space="preserve">[eqn:29]</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30">
        <w:r>
          <w:rPr>
            <w:rStyle w:val="Hyperlink"/>
          </w:rPr>
          <w:t xml:space="preserve">[eqn:30]</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31">
        <w:r>
          <w:rPr>
            <w:rStyle w:val="Hyperlink"/>
          </w:rPr>
          <w:t xml:space="preserve">[eqn:31]</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[128]. Equation </w:t>
      </w:r>
      <w:hyperlink w:anchor="eqn:32">
        <w:r>
          <w:rPr>
            <w:rStyle w:val="Hyperlink"/>
          </w:rPr>
          <w:t xml:space="preserve">[eqn:32]</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3">
        <w:r>
          <w:rPr>
            <w:rStyle w:val="Hyperlink"/>
          </w:rPr>
          <w:t xml:space="preserve">[eqn:33]</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[132]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[133].</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34">
        <w:r>
          <w:rPr>
            <w:rStyle w:val="Hyperlink"/>
          </w:rPr>
          <w:t xml:space="preserve">[eqn:34]</w:t>
        </w:r>
      </w:hyperlink>
      <w:r>
        <w:t xml:space="preserve"> </w:t>
      </w:r>
      <w:r>
        <w:t xml:space="preserve">[5]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35">
        <w:r>
          <w:rPr>
            <w:rStyle w:val="Hyperlink"/>
          </w:rPr>
          <w:t xml:space="preserve">[eqn:35]</w:t>
        </w:r>
      </w:hyperlink>
      <w:r>
        <w:t xml:space="preserve"> </w:t>
      </w:r>
      <w:r>
        <w:t xml:space="preserve">[5].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36">
        <w:r>
          <w:rPr>
            <w:rStyle w:val="Hyperlink"/>
          </w:rPr>
          <w:t xml:space="preserve">[eqn:36]</w:t>
        </w:r>
      </w:hyperlink>
      <w:r>
        <w:t xml:space="preserve"> </w:t>
      </w:r>
      <w:r>
        <w:t xml:space="preserve">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34">
        <w:r>
          <w:rPr>
            <w:rStyle w:val="Hyperlink"/>
          </w:rPr>
          <w:t xml:space="preserve">[eqn:34]</w:t>
        </w:r>
      </w:hyperlink>
      <w:r>
        <w:t xml:space="preserve"> </w:t>
      </w:r>
      <w:r>
        <w:t xml:space="preserve">and Equation </w:t>
      </w:r>
      <w:hyperlink w:anchor="eqn:36">
        <w:r>
          <w:rPr>
            <w:rStyle w:val="Hyperlink"/>
          </w:rPr>
          <w:t xml:space="preserve">[eqn:36]</w:t>
        </w:r>
      </w:hyperlink>
      <w:r>
        <w:t xml:space="preserve"> </w:t>
      </w:r>
      <w:r>
        <w:t xml:space="preserve">yields Equation </w:t>
      </w:r>
      <w:hyperlink w:anchor="eqn:37">
        <w:r>
          <w:rPr>
            <w:rStyle w:val="Hyperlink"/>
          </w:rPr>
          <w:t xml:space="preserve">[eqn:37]</w:t>
        </w:r>
      </w:hyperlink>
      <w:r>
        <w:t xml:space="preserve"> </w:t>
      </w:r>
      <w:r>
        <w:t xml:space="preserve">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w:t>
      </w:r>
      <w:hyperlink w:anchor="eqn:38">
        <w:r>
          <w:rPr>
            <w:rStyle w:val="Hyperlink"/>
          </w:rPr>
          <w:t xml:space="preserve">[eqn:38]</w:t>
        </w:r>
      </w:hyperlink>
      <w:r>
        <w:t xml:space="preserve"> </w:t>
      </w:r>
      <w:r>
        <w:t xml:space="preserve">is calculated using the integral on the right side of Equation </w:t>
      </w:r>
      <w:hyperlink w:anchor="eqn:37">
        <w:r>
          <w:rPr>
            <w:rStyle w:val="Hyperlink"/>
          </w:rPr>
          <w:t xml:space="preserve">[eqn:37]</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38">
        <w:r>
          <w:rPr>
            <w:rStyle w:val="Hyperlink"/>
          </w:rPr>
          <w:t xml:space="preserve">[eqn:38]</w:t>
        </w:r>
      </w:hyperlink>
      <w:r>
        <w:t xml:space="preserve">, Equation </w:t>
      </w:r>
      <w:hyperlink w:anchor="eqn:37">
        <w:r>
          <w:rPr>
            <w:rStyle w:val="Hyperlink"/>
          </w:rPr>
          <w:t xml:space="preserve">[eqn:37]</w:t>
        </w:r>
      </w:hyperlink>
      <w:r>
        <w:t xml:space="preserve"> </w:t>
      </w:r>
      <w:r>
        <w:t xml:space="preserve">can be written as shown in Equation </w:t>
      </w:r>
      <w:hyperlink w:anchor="eqn:39">
        <w:r>
          <w:rPr>
            <w:rStyle w:val="Hyperlink"/>
          </w:rPr>
          <w:t xml:space="preserve">[eqn:39]</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40">
        <w:r>
          <w:rPr>
            <w:rStyle w:val="Hyperlink"/>
          </w:rPr>
          <w:t xml:space="preserve">[eqn:40]</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w:t>
      </w:r>
      <w:hyperlink w:anchor="eqn:40">
        <w:r>
          <w:rPr>
            <w:rStyle w:val="Hyperlink"/>
          </w:rPr>
          <w:t xml:space="preserve">[eqn:40]</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41">
        <w:r>
          <w:rPr>
            <w:rStyle w:val="Hyperlink"/>
          </w:rPr>
          <w:t xml:space="preserve">[eqn:41]</w:t>
        </w:r>
      </w:hyperlink>
      <w:r>
        <w:t xml:space="preserve"> </w:t>
      </w:r>
      <w:r>
        <w:t xml:space="preserve">[5]: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41">
        <w:r>
          <w:rPr>
            <w:rStyle w:val="Hyperlink"/>
          </w:rPr>
          <w:t xml:space="preserve">[eqn:41]</w:t>
        </w:r>
      </w:hyperlink>
      <w:r>
        <w:t xml:space="preserve"> </w:t>
      </w:r>
      <w:r>
        <w:t xml:space="preserve">can be rewritten as in Equation </w:t>
      </w:r>
      <w:hyperlink w:anchor="eqn:42">
        <w:r>
          <w:rPr>
            <w:rStyle w:val="Hyperlink"/>
          </w:rPr>
          <w:t xml:space="preserve">[eqn:42]</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42">
        <w:r>
          <w:rPr>
            <w:rStyle w:val="Hyperlink"/>
          </w:rPr>
          <w:t xml:space="preserve">[eqn:42]</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43">
        <w:r>
          <w:rPr>
            <w:rStyle w:val="Hyperlink"/>
          </w:rPr>
          <w:t xml:space="preserve">[eqn:43]</w:t>
        </w:r>
      </w:hyperlink>
      <w:r>
        <w:t xml:space="preserve"> </w:t>
      </w:r>
      <w:r>
        <w:t xml:space="preserve">[134, 5]. A cosine-like daily dynamic of GPS ionospheric delay values is assumed in the Klobuchar model, with the daily maximum appearing around 14:00 in local time [135].</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[30], so this step was also applied to the input data before training the models in this study. There are many ways to standardize data, such as minimum-maximum, normalization by decimal scaling, and Z-score [31]. Subtracting the mean and dividing by the variance for each feature are commonly used for Support Vector Machines (SVMs) [32]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44">
        <w:r>
          <w:rPr>
            <w:rStyle w:val="Hyperlink"/>
          </w:rPr>
          <w:t xml:space="preserve">[eqn:44]</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45">
        <w:r>
          <w:rPr>
            <w:rStyle w:val="Hyperlink"/>
          </w:rPr>
          <w:t xml:space="preserve">[eqn:45]</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46">
        <w:r>
          <w:rPr>
            <w:rStyle w:val="Hyperlink"/>
          </w:rPr>
          <w:t xml:space="preserve">[eqn:46]</w:t>
        </w:r>
      </w:hyperlink>
      <w:r>
        <w:t xml:space="preserve"> </w:t>
      </w:r>
      <w:r>
        <w:t xml:space="preserve">denotes all such events. Equation </w:t>
      </w:r>
      <w:hyperlink w:anchor="eqn:47">
        <w:r>
          <w:rPr>
            <w:rStyle w:val="Hyperlink"/>
          </w:rPr>
          <w:t xml:space="preserve">[eqn:47]</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48">
        <w:r>
          <w:rPr>
            <w:rStyle w:val="Hyperlink"/>
          </w:rPr>
          <w:t xml:space="preserve">[eqn:48]</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w:t>
      </w:r>
      <w:hyperlink w:anchor="eqn:49">
        <w:r>
          <w:rPr>
            <w:rStyle w:val="Hyperlink"/>
          </w:rPr>
          <w:t xml:space="preserve">[eqn:49]</w:t>
        </w:r>
      </w:hyperlink>
      <w:r>
        <w:t xml:space="preserve"> </w:t>
      </w:r>
      <w:r>
        <w:t xml:space="preserve">is derived from the construction in Equation </w:t>
      </w:r>
      <w:hyperlink w:anchor="eqn:50">
        <w:r>
          <w:rPr>
            <w:rStyle w:val="Hyperlink"/>
          </w:rPr>
          <w:t xml:space="preserve">[eqn:50]</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51">
        <w:r>
          <w:rPr>
            <w:rStyle w:val="Hyperlink"/>
          </w:rPr>
          <w:t xml:space="preserve">[eqn:51]</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52">
        <w:r>
          <w:rPr>
            <w:rStyle w:val="Hyperlink"/>
          </w:rPr>
          <w:t xml:space="preserve">[eqn:52]</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53">
        <w:r>
          <w:rPr>
            <w:rStyle w:val="Hyperlink"/>
          </w:rPr>
          <w:t xml:space="preserve">[eqn:53]</w:t>
        </w:r>
      </w:hyperlink>
      <w:r>
        <w:t xml:space="preserve"> </w:t>
      </w:r>
      <w:r>
        <w:t xml:space="preserve">contains the Cohen’s Kappa formula [156]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2024-10-08T10:28:19Z</dcterms:created>
  <dcterms:modified xsi:type="dcterms:W3CDTF">2024-10-08T10:28:19Z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