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w:t>
      </w:r>
    </w:p>
    <w:p>
      <w:pPr>
        <w:pStyle w:val="BodyText"/>
      </w:pPr>
      <w:r>
        <w:t xml:space="preserve">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[3, 4].</w:t>
      </w:r>
    </w:p>
    <w:p>
      <w:pPr>
        <w:pStyle w:val="BodyText"/>
      </w:pPr>
      <w:r>
        <w:t xml:space="preserve">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w:t>
      </w:r>
    </w:p>
    <w:p>
      <w:pPr>
        <w:pStyle w:val="BodyText"/>
      </w:pPr>
      <w:r>
        <w:t xml:space="preserve">The ionosphere affects GNSS satellite signals for position estimation by introducing signal propagation delay [5, 4]. The GNSS ionospheric delay is a stochastic variable, whose value is determined by complex physical processes of space weather [4, 1].</w:t>
      </w:r>
    </w:p>
    <w:p>
      <w:pPr>
        <w:pStyle w:val="BodyText"/>
      </w:pPr>
      <w:r>
        <w:t xml:space="preserve">How space weather affects GNSS PNT performance was explained using the Space weather – GNSS PNT performance coupling model [4],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[7].</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[8].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9, 10].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[11]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[7]. The INTERMAGNET [12]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[13, 14, 15].</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[16], or outlier detection [17]. SVM models are also effective for non-linear classification using the hyperplane kernel trick [18, 19]. Intuitively, a good separation is achieved by the hyperplane with the greatest distance to the nearest point in the training data belonging to any class [20]. Support Vector Clustering (SVC) [21] is a related method for clustering unlabeled data.</w:t>
      </w:r>
    </w:p>
    <w:p>
      <w:pPr>
        <w:pStyle w:val="BodyText"/>
      </w:pPr>
      <w:r>
        <w:t xml:space="preserve">Meyer, Leisch, and Hornik compared SVM models with other classifiers [22].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[23].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[24].</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[25].</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[26], and machine learning. Classification trees use a discrete target variable, while regression trees can handle continuous values [27]. DT models are popular due to their comprehensibility and simplicity [28].</w:t>
      </w:r>
    </w:p>
    <w:p>
      <w:pPr>
        <w:pStyle w:val="BodyText"/>
      </w:pPr>
      <w:r>
        <w:t xml:space="preserve">A tree is recursively partitioned by dividing the original set, or root node, into subsets that form descendants, or successors, using classification rules based on features [29]. This process of Top-Down Induction of Decision Trees (TDIDT) [30] is an example of a greedy algorithm that is the most common strategy for learning DT models from data [31].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[32] classifiers are a family of linear "probabilistic classifiers" that assume that, given a target class, the features are conditionally independent. These classifiers are among the simplest Bayesian network models [33], but a NB classifier model is not necessarily a Bayesian method. Maximum likelihood training evaluates a closed-form expression [34] in linear time instead of using iterative approximation.</w:t>
      </w:r>
    </w:p>
    <w:p>
      <w:pPr>
        <w:pStyle w:val="BodyText"/>
      </w:pPr>
      <w:r>
        <w:t xml:space="preserve">Despite their simplicity, NB classifier models have performed well in real-world situations [35]. However, a comprehensive comparison in 2006 showed that Bayesian classification performed worse than boosted trees or Random Forest (RF) [36]. An advantage of NB over other models is a smaller amount of training data [37, 38].</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[39]. The model can be reformulated using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[40, 41].</w:t>
      </w:r>
    </w:p>
    <w:p>
      <w:pPr>
        <w:pStyle w:val="BodyText"/>
      </w:pPr>
      <w:r>
        <w:t xml:space="preserve">Shallow NN models typically contain only a few hidden layers for processing between the input layer that receives the data and the final layer that produces the output [42, 43]. A network with at least two hidden layers [44] is a deep NN model.</w:t>
      </w:r>
    </w:p>
    <w:p>
      <w:pPr>
        <w:pStyle w:val="BodyText"/>
      </w:pPr>
      <w:r>
        <w:t xml:space="preserve">Gradient-based methods such as backpropagation estimate ANN parameters [45] to minimize the difference or empirical risk between the output and target labels, expressed in a loss function [46]. The hyperparameters may also be modified to suit the problem [47] during an extensive tuning process, like the one used in this study.</w:t>
      </w:r>
    </w:p>
    <w:p>
      <w:pPr>
        <w:pStyle w:val="BodyText"/>
      </w:pPr>
      <w:r>
        <w:t xml:space="preserve">Principal Component Analysis (PCA) [48, 49] is a linear dimensionality reduction technique in exploratory data analysis, visualization [50],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[51]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[52, 53],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[54].</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[55] but onto loadings instead [56, 57]. Many versions of PLS exist [58, 59] for estimating the factor and loading matrices, such as the PLS1 algorithm [60, 61].</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[62, 63] based on a mixture of non-parametric linear regression models [64], such as Multivariate Adaptive Regression Splines (MARS) and Linear Discriminant Analysis (LDA).</w:t>
      </w:r>
    </w:p>
    <w:p>
      <w:pPr>
        <w:pStyle w:val="BodyText"/>
      </w:pPr>
      <w:r>
        <w:t xml:space="preserve">Many predictors can be used at once in FDA [65], and variable interactions are automatically noted [66]. FDA is complex but execution time and computational load are adequate [67]. The algorithm is not largely affected by outliers [68].</w:t>
      </w:r>
    </w:p>
    <w:p>
      <w:pPr>
        <w:pStyle w:val="BodyText"/>
      </w:pPr>
      <w:r>
        <w:t xml:space="preserve">Changed settings significantly alter FDA [69], and estimation might fail if predictors are correlated. FDA is prone to overfitting [70], and challenging to comprehend [71]. Feature normality and equal group covariances are assumed [72, 73].</w:t>
      </w:r>
    </w:p>
    <w:p>
      <w:pPr>
        <w:pStyle w:val="BodyText"/>
      </w:pPr>
      <w:r>
        <w:t xml:space="preserve">LDA, Normal Discriminant Analysis (NDA), or discriminant function analysis [74] is a generalization of Fisher’s linear discriminant defined in 1936 [62, 75, 76]. The results of LDA may be utilized directly, as demonstrated in this experiment, but they are more often used to reduce dimensionality [77].</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[78, 79].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[80], seasonality, thunderstorms [81], nuclear experiments, earthquakes [82], and other phenomena.</w:t>
      </w:r>
    </w:p>
    <w:p>
      <w:pPr>
        <w:pStyle w:val="BodyText"/>
      </w:pPr>
      <w:r>
        <w:t xml:space="preserve">Many parameters can describe the Earth’s geomagnetic field [83].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[84, 85].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[86],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[87],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[88]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[89, 90]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[91].</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[92] and a scientific publication [93]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r>
        <w:t xml:space="preserve"> </w:t>
      </w: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[79].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[89, 90], and the Geomagnetism and Space Magnetism Data Analysis Center of the Institute of Science, Kyoto University in Japan.</w:t>
      </w:r>
    </w:p>
    <w:p>
      <w:pPr>
        <w:pStyle w:val="BodyText"/>
      </w:pPr>
      <w:r>
        <w:t xml:space="preserve">Loewe and Prölss [94]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[95] used three groups for the same data in 1994, as shown in Table </w:t>
      </w:r>
      <w:hyperlink w:anchor="tab:gonzalez1994">
        <w:r>
          <w:rPr>
            <w:rStyle w:val="Hyperlink"/>
          </w:rPr>
          <w:t xml:space="preserve">7</w:t>
        </w:r>
      </w:hyperlink>
      <w:r>
        <w:t xml:space="preserve">, similar to Kamide et al. in 1998 [96], Rozhnoi et al. in 2004 [97], and Contadakis et al. in 2012 [98].</w:t>
      </w:r>
    </w:p>
    <w:bookmarkStart w:id="37" w:name="tab:loewe1997"/>
    <w:p>
      <w:pPr>
        <w:pStyle w:val="TableCaption"/>
      </w:pPr>
      <w:r>
        <w:t xml:space="preserve">Storm classification from Loewe and Prölss, in 1997 [94].</w:t>
      </w:r>
    </w:p>
    <w:tbl>
      <w:tblPr>
        <w:tblStyle w:val="Table"/>
        <w:tblW w:type="auto" w:w="0"/>
        <w:tblLook w:firstRow="0" w:lastRow="0" w:firstColumn="0" w:lastColumn="0" w:noHBand="0" w:noVBand="0" w:val="0000"/>
        <w:tblCaption w:val="Storm classification from Loewe and Prölss, in 1997 [94]."/>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[95].</w:t>
      </w:r>
    </w:p>
    <w:tbl>
      <w:tblPr>
        <w:tblStyle w:val="Table"/>
        <w:tblW w:type="auto" w:w="0"/>
        <w:tblLook w:firstRow="0" w:lastRow="0" w:firstColumn="0" w:lastColumn="0" w:noHBand="0" w:noVBand="0" w:val="0000"/>
        <w:tblCaption w:val="Storm classification from Gonzales et al., in 1994 [95]."/>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[99, 100, 101].</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[94].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[102]. There are many ways to standardize data, such as minimum-maximum, normalization by decimal scaling, and Z-score [103]. Subtracting the mean and dividing by the variance for each feature are commonly used for SVM models [104]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[105] and</w:t>
      </w:r>
      <w:r>
        <w:t xml:space="preserve"> </w:t>
      </w:r>
      <w:r>
        <w:rPr>
          <w:i/>
          <w:iCs/>
        </w:rPr>
        <w:t xml:space="preserve">shapiro.test</w:t>
      </w:r>
      <w:r>
        <w:t xml:space="preserve"> </w:t>
      </w:r>
      <w:r>
        <w:t xml:space="preserve">[106],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[107, 108].</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[109, 110].</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[111]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[112]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[113].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2024-10-27T11:34:05Z</dcterms:created>
  <dcterms:modified xsi:type="dcterms:W3CDTF">2024-10-27T11:34:05Z</dcterms:modified>
</cp:coreProperties>
</file>

<file path=docProps/custom.xml><?xml version="1.0" encoding="utf-8"?>
<Properties xmlns="http://schemas.openxmlformats.org/officeDocument/2006/custom-properties" xmlns:vt="http://schemas.openxmlformats.org/officeDocument/2006/docPropsVTypes"/>
</file>