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 TEC is defined as a result, a consequence, of the ionospheric conditions, and not their descriptor [1].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 TEC, as given in Equation </w:t>
      </w:r>
      <w:hyperlink w:anchor="eqn:3">
        <w:r>
          <w:rPr>
            <w:rStyle w:val="Hyperlink"/>
          </w:rPr>
          <w:t xml:space="preserve">[eqn:3]</w:t>
        </w:r>
      </w:hyperlink>
      <w:r>
        <w:t xml:space="preserve">,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 on the radio ray path between satellite and receiver is defined in Equation </w:t>
      </w:r>
      <w:hyperlink w:anchor="eqn:6">
        <w:r>
          <w:rPr>
            <w:rStyle w:val="Hyperlink"/>
          </w:rPr>
          <w:t xml:space="preserve">[eqn:6]</w:t>
        </w:r>
      </w:hyperlink>
      <w:r>
        <w:t xml:space="preserve"> </w:t>
      </w:r>
      <w:r>
        <w:t xml:space="preserve">[5]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[5] 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 TEC and GPS pseudo-range measurements can be established in Equation </w:t>
      </w:r>
      <w:hyperlink w:anchor="eqn:13">
        <w:r>
          <w:rPr>
            <w:rStyle w:val="Hyperlink"/>
          </w:rPr>
          <w:t xml:space="preserve">[eqn:13]</w:t>
        </w:r>
      </w:hyperlink>
      <w:r>
        <w:t xml:space="preserve"> </w:t>
      </w:r>
      <w:r>
        <w:t xml:space="preserve">[5]: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 TEC. The actual value of the TEC 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w:t>
      </w:r>
      <w:hyperlink w:anchor="eqn:15">
        <w:r>
          <w:rPr>
            <w:rStyle w:val="Hyperlink"/>
          </w:rPr>
          <w:t xml:space="preserve">[eqn:15]</w:t>
        </w:r>
      </w:hyperlink>
      <w:r>
        <w:t xml:space="preserve"> </w:t>
      </w:r>
      <w:r>
        <w:t xml:space="preserve">[131, 5]. A cosine-like daily dynamic of GPS ionospheric delay values is assumed in the Klobuchar model, with the daily maximum appearing around 14:00 in local time [132].</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[133], so this step was also applied to the input data before training the models in this study. There are many ways to standardize data, such as minimum-maximum, normalization by decimal scaling, and Z-score [134]. Subtracting the mean and dividing by the variance for each feature are commonly used for SVM models [135]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[136, 137, 138].</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[139, 140, 141, 142, 143].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[144, 145, 146, 147]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[148, 149]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[150].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[151]. Galton was the first to use a statistic similar to Cohen’s kappa in 1892 [152, 153]. Jacob Cohen formally described the kappa coefficient in 1960 in the journal "Educational and Psychological Measurement" [154].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[155] 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 [156]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[157, 158].</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[159]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2024-10-16T16:59:04Z</dcterms:created>
  <dcterms:modified xsi:type="dcterms:W3CDTF">2024-10-16T16:59:04Z</dcterms:modified>
</cp:coreProperties>
</file>

<file path=docProps/custom.xml><?xml version="1.0" encoding="utf-8"?>
<Properties xmlns="http://schemas.openxmlformats.org/officeDocument/2006/custom-properties" xmlns:vt="http://schemas.openxmlformats.org/officeDocument/2006/docPropsVTypes"/>
</file>