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[4].</w:t>
      </w:r>
    </w:p>
    <w:tbl>
      <w:tblPr>
        <w:tblStyle w:val="Table"/>
        <w:tblW w:type="auto" w:w="0"/>
        <w:tblLook w:firstRow="0" w:lastRow="0" w:firstColumn="0" w:lastColumn="0" w:noHBand="0" w:noVBand="0" w:val="0000"/>
        <w:tblCaption w:val="The Space weather â€“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[14],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[15]. Support Vector Clustering [16] (SVC) applies support vector statistics to unlabeled data in unsupervised learning to find new natural groupings. Meyer, Leisch, and Hornik compared SVM with other classifiers [17],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[18]. Intuitively, a good separation is achieved by the hyperplane with the greatest distance to the nearest point in the training data belonging to any class [19].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[14, 20]. A multidimensional feature space increases the generalization error of Support Vector Machines, so additional samples are needed to enhance performance [21].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[23]. Some methods for shallow semantic parsing are based on SVMs [24]. Image classification and segmentation can also be performed using SVM models, including a modified version of SVM that uses privileged access as proposed by Vapnik [25, 26].</w:t>
      </w:r>
    </w:p>
    <w:p>
      <w:pPr>
        <w:pStyle w:val="BodyText"/>
      </w:pPr>
      <w:r>
        <w:t xml:space="preserve">Classification of satellite data such as Synthetic Aperture Radar (SAR) data is possible using a supervised SVM [27]. Handwritten characters can be recognized using SVM [28, 29].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[30, 31]. SVM weights were also used to interpret SVM models [32].</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[33].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[34]. Decision Trees are among the most popular machine learning algorithms due to their comprehensibility and simplicity [35]. A Decision Tree describes the input data and the resulting classification tree can be the input for decision-making in data mining [36].</w:t>
      </w:r>
    </w:p>
    <w:p>
      <w:pPr>
        <w:pStyle w:val="BodyText"/>
      </w:pPr>
      <w:r>
        <w:t xml:space="preserve">A tree is built by dividing the original set, which forms the root node, into subsets that form descendants, or successors. The segmentation is made using a set of rules based on classification features [37].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[38] is an example of a greedy algorithm and is by far the most common strategy for learning Decision Trees from data [39].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[40].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[41],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[42]. These names refer to Bayes’ theorem in the classifier’s decision rule, but a Naive Bayesian classifier is not necessarily a Bayesian method [41, 42].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 However, a comprehensive comparison with other classification algorithms in 2006 showed that Bayesian classification performed worse than other approaches, such as boosted trees or random forests [44]. The advantage of Naive Bayes is that it requires only a small amount of training data to estimate the parameters needed for classification [45].</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[46].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[47]. Assumptions about the distribution of features are called an event model or Bayesian classifier, which can introduce confusion by creating both a continuous and discrete model [48, 49].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[42].</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[47], can significantly increase the accuracy of the classifier [50, 19].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[51, 52].</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[53, 54]. A network with at least two hidden layers [55]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[56]. Gradient-based methods such as backpropagation are usually used to estimate network parameters [56]. During the training phase, ANNs learn from labeled training data by iteratively updating their parameters to minimize a defined loss function [57].</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[58]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[59]. AutoML and AutoKeras [60]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[61]. TensorFlow and Keras are used to build a custom network in Python, and the user can define layers, models, or metrics. The data, number of hidden layer units, learning rate, and number of iterations are required parameters for model training based on a book by Liu [62].</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[63, 64],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[65].</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[66],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[67, 68, 69, 70, 71, 64]. Many versions of PLS exist for estimating the factor and loading matrices, such as the PLS1 algorithm [72, 73].</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[74], such as Multivariate Adaptive Regression Splines (MARS) and linear discriminant analysis (LDA).</w:t>
      </w:r>
    </w:p>
    <w:p>
      <w:pPr>
        <w:pStyle w:val="BodyText"/>
      </w:pPr>
      <w:r>
        <w:t xml:space="preserve">Many predictors can be used at once in FDA [75], variable interactions are automatically noted [76], it is complex but execution time and computational load are adequate [77]. The algorithm is not significantly affected by outliers [78].</w:t>
      </w:r>
    </w:p>
    <w:p>
      <w:pPr>
        <w:pStyle w:val="BodyText"/>
      </w:pPr>
      <w:r>
        <w:t xml:space="preserve">Modifying different settings has a high impact on FDA [79], and the estimation might be unsuccessful if the predictor distributions are highly correlated. FDA is prone to overfitting [80], and challenging to comprehend or explain [81]. The assumption of normality for the continuous independent variables is necessary [82]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[83]. The results of LDA may be utilized directly or to reduce dimensionality before classification, which is more often used [84]. LDA finds a linear combination of features or measurements differentiating two or more sample classes [85, 86]. Discriminant analysis has continuous independent variables and a categorical dependent variable representing the groups [87].</w:t>
      </w:r>
    </w:p>
    <w:p>
      <w:pPr>
        <w:pStyle w:val="BodyText"/>
      </w:pPr>
      <w:r>
        <w:t xml:space="preserve">LDA is closely related to PCA and factor analysis since they identify linear functions of multiple variables that fit the input with the smallest error [88]. Discriminant correspondence analysis [89, 90] is equivalent to LDA for categorical independent variables. Points in discriminant function analysis are rated based on quantitative predictors and a group measure [91] to represent classification [92].</w:t>
      </w:r>
    </w:p>
    <w:p>
      <w:pPr>
        <w:pStyle w:val="BodyText"/>
      </w:pPr>
      <w:r>
        <w:t xml:space="preserve">The assumptions of MANOVA are also true for discriminant analysis. The analysis is highly affected by outliers so there must be fewer predictor variables than samples in the smallest class [91]. In every level of the grouping variable, independent variables must be normal to achieve multivariate normality [91, 84]. Box’s M statistic [84]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[91]. The scores of one predictor variable should not depend on other predictor variables for any sample, and the samples should be chosen at random [91, 84]. Discriminant analysis can handle small deviations from these requirements [93] and may be used even if multivariate normality is not achieved, such as for dichotomous variables [94].</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[95]. A discriminant score describes how well a discriminant differentiates classes. [96].</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[91]. Eigenvalues do not have an upper limit [91, 84], so the results should not be taken at face value.</w:t>
      </w:r>
    </w:p>
    <w:p>
      <w:pPr>
        <w:pStyle w:val="BodyText"/>
      </w:pPr>
      <w:r>
        <w:t xml:space="preserve">Even though it is not universally accepted, some suggest eigenvalues be utilized as effect size measures [84]. The percent of correctly classified data, such as the kappa value, can also be used as the effect size while accounting for random matches in classification [84]. Kappa is not biased for any particular class, whether performance is high or low, and instead normalizes across all classes [97].</w:t>
      </w:r>
    </w:p>
    <w:p>
      <w:pPr>
        <w:pStyle w:val="BodyText"/>
      </w:pPr>
      <w:r>
        <w:t xml:space="preserve">Fisher’s linear discriminant and LDA are sometimes considered synonyms. However, Fisher [85] describes a slightly different discriminant, which does not make some of the assumptions of LDA such as a normal distribution or the equality of covariances for groups. The application of the Fisher discriminant is expanded to find a subspace capturing all class variability [96] for multiple groups, as suggested by C. R. Rao [98].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[99].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[100].</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[101, 102, 103, 104]. CCA does the same for the cross-covariance between two datasets. Robust and L1-norm-based variants of standard PCA have also been proposed [104, 105, 106, 107].</w:t>
      </w:r>
    </w:p>
    <w:p>
      <w:pPr>
        <w:pStyle w:val="BodyText"/>
      </w:pPr>
      <w:r>
        <w:t xml:space="preserve">Karl Pearson [108] conceived of PCA in 1901 as a counterpart of the principal axis theorem in mechanics [109]. Harold Hotelling discovered the Hotelling transform in multivariate quality control in the 1930s without knowledge of the previous work [110, 111]. Synonyms for PCA include the discrete proper orthogonal decomposition (POD) [112, 113, 114, 115] in mechanical engineering and the Kosambiâ€“Karhunenâ€“LoÃ¨ve or Karhunenâ€“LoÃ¨ve theorem (KLT) [116, 117, 118, 119, 120, 121] in signal processing. Singular value decomposition (SVD) of X, established in the final quarter of the 19th century [122],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[123, 124]. Factor analysis differs in several key features [125], but has many aspects in common with PCA. Empirical orthogonal functions (EOF) [126] in meteorological science were developed by Lorenz in 1956 [126]. The Eckartâ€“Young theorem [127] and quasiharmonic modes [128]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[125, 129]. The significance of the principal components can be checked with parametric bootstrap for a smaller dataset to help decide how many principal components to keep [130].</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[5]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[131, 5]. A cosine-like daily dynamic of GPS ionospheric delay values is assumed in the Klobuchar model, with the daily maximum appearing around 14:00 in local time [132].</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[133], so this step was also applied to the input data before training the models in this study. There are many ways to standardize data, such as minimum-maximum, normalization by decimal scaling, and Z-score [134]. Subtracting the mean and dividing by the variance for each feature are commonly used for Support Vector Machines (SVMs) [135]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[156]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[157, 158].</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P.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F.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T.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J. Hyndman, Forecasting: principles and practice. Melbourne, Australia: OTexts, 2018.</w:t>
      </w:r>
      <w:r>
        <w:t xml:space="preserve"> </w:t>
      </w: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binom.test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J.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2024-10-15T13:29:38Z</dcterms:created>
  <dcterms:modified xsi:type="dcterms:W3CDTF">2024-10-15T13:29:38Z</dcterms:modified>
</cp:coreProperties>
</file>

<file path=docProps/custom.xml><?xml version="1.0" encoding="utf-8"?>
<Properties xmlns="http://schemas.openxmlformats.org/officeDocument/2006/custom-properties" xmlns:vt="http://schemas.openxmlformats.org/officeDocument/2006/docPropsVTypes"/>
</file>