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w:t>
      </w:r>
      <w:hyperlink w:anchor="eqn:1">
        <w:r>
          <w:rPr>
            <w:rStyle w:val="Hyperlink"/>
          </w:rPr>
          <w:t xml:space="preserve">[eqn:1]</w:t>
        </w:r>
      </w:hyperlink>
      <w:r>
        <w:t xml:space="preserve"> </w:t>
      </w:r>
      <w:r>
        <w:t xml:space="preserve">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w:t>
      </w:r>
      <w:hyperlink w:anchor="eqn:1">
        <w:r>
          <w:rPr>
            <w:rStyle w:val="Hyperlink"/>
          </w:rPr>
          <w:t xml:space="preserve">[eqn:1]</w:t>
        </w:r>
      </w:hyperlink>
      <w:r>
        <w:t xml:space="preserve">,</w:t>
      </w:r>
      <w:r>
        <w:t xml:space="preserve"> </w:t>
      </w:r>
      <m:oMath>
        <m:r>
          <m:t>T</m:t>
        </m:r>
        <m:r>
          <m:t>E</m:t>
        </m:r>
        <m:r>
          <m:t>C</m:t>
        </m:r>
      </m:oMath>
      <w:r>
        <w:t xml:space="preserve"> </w:t>
      </w:r>
      <w:r>
        <w:t xml:space="preserve">is defined as a result, a consequence, of the ionospheric conditions, and not their descriptor (Filjar, 2022). The GNSS ionospheric delay may be determined by derivation from the Appleton-Hartree equation, as given in Equation </w:t>
      </w:r>
      <w:hyperlink w:anchor="eqn:2">
        <w:r>
          <w:rPr>
            <w:rStyle w:val="Hyperlink"/>
          </w:rPr>
          <w:t xml:space="preserve">[eqn:2]</w:t>
        </w:r>
      </w:hyperlink>
      <w:r>
        <w:t xml:space="preserve">,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w:t>
      </w:r>
      <w:hyperlink w:anchor="eqn:1">
        <w:r>
          <w:rPr>
            <w:rStyle w:val="Hyperlink"/>
          </w:rPr>
          <w:t xml:space="preserve">[eqn:1]</w:t>
        </w:r>
      </w:hyperlink>
      <w:r>
        <w:t xml:space="preserve"> </w:t>
      </w:r>
      <w:r>
        <w:t xml:space="preserve">and Equation </w:t>
      </w:r>
      <w:hyperlink w:anchor="eqn:2">
        <w:r>
          <w:rPr>
            <w:rStyle w:val="Hyperlink"/>
          </w:rPr>
          <w:t xml:space="preserve">[eqn:2]</w:t>
        </w:r>
      </w:hyperlink>
      <w:r>
        <w:t xml:space="preserve">,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w:t>
      </w:r>
      <w:hyperlink w:anchor="eqn:3">
        <w:r>
          <w:rPr>
            <w:rStyle w:val="Hyperlink"/>
          </w:rPr>
          <w:t xml:space="preserve">[eqn:3]</w:t>
        </w:r>
      </w:hyperlink>
      <w:r>
        <w:t xml:space="preserve">,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2012a).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w:t>
      </w:r>
      <w:hyperlink w:anchor="eqn:4">
        <w:r>
          <w:rPr>
            <w:rStyle w:val="Hyperlink"/>
          </w:rPr>
          <w:t xml:space="preserve">[eqn:4]</w:t>
        </w:r>
      </w:hyperlink>
      <w:r>
        <w:t xml:space="preserve">.</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(Y. H.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w:t>
      </w:r>
      <w:hyperlink w:anchor="eqn:5">
        <w:r>
          <w:rPr>
            <w:rStyle w:val="Hyperlink"/>
          </w:rPr>
          <w:t xml:space="preserve">[eqn:5]</w:t>
        </w:r>
      </w:hyperlink>
      <w:r>
        <w:t xml:space="preserve">.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(Tobiska, 1996) can induce various effects that degrade the accuracy, availability, and reliability of GNSS PNT.</w:t>
      </w:r>
    </w:p>
    <w:p>
      <w:pPr>
        <w:pStyle w:val="BodyText"/>
      </w:pPr>
      <w:r>
        <w:t xml:space="preserve">Disturbances caused by geomagnetic storms (Vitinsky et al., 1986) can also affect the high-frequency GPS signals (Lanyi &amp; Roth, 1988) passing through the ionosphere layer (Rishbeth &amp; Garriott, 1969, Ratcliffe, 1972), motivating work on error modeling of the ionosphere (Klobuchar, 1986, Zolesi &amp; Cander, 2014). Observed changes in the ionosphere layer include the density distribution in the ionosphere,</w:t>
      </w:r>
      <w:r>
        <w:t xml:space="preserve"> </w:t>
      </w:r>
      <m:oMath>
        <m:r>
          <m:t>T</m:t>
        </m:r>
        <m:r>
          <m:t>E</m:t>
        </m:r>
        <m:r>
          <m:t>C</m:t>
        </m:r>
      </m:oMath>
      <w:r>
        <w:t xml:space="preserve"> </w:t>
      </w:r>
      <w:r>
        <w:t xml:space="preserve">values, and the current balance in the ionosphere (Komjathy, 2023).</w:t>
      </w:r>
    </w:p>
    <w:p>
      <w:pPr>
        <w:pStyle w:val="BodyText"/>
      </w:pPr>
      <w:r>
        <w:t xml:space="preserve">Geomagnetic storms (NOAAcfedg, 2024a) cause signal deterioration by affecting Global Electric Current (GEC) variability (Gray, 2019, Gray, 2021). The ionosphere (Wild, 1994) may show changes (Hawarey &amp; Ayan, 2010) related to geographical and geomagnetic location, geomagnetic and solar activity, the appearance of sunspots, local time (Kotz et al., 2005), seasonality, thunderstorms (Vellinov et al., 1992), nuclear experiments on Earth, earthquakes (M. Liu et al., 2014),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(Ulukavak &amp; Yalcinkaya, 2018)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(Schwenn, 2001) coming from the solar corona and the domain of the Sun influence the interplanetary magnetic field (Melnikov, 1990).</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(Harden, 2005) appear when the Sun’s activity is highest. Sunspots are filled with magnetism and large magnetic field lines, and matter sputtering can occur (Gonzalez et al., 1994). Affected by solar winds (Viereck, 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(Aschwanden, 2006).</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(Abraha, 2014).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(Turunen &amp; Rao, 1980, Adeniyi, 1986). An expansion of the F2 layer is also observed due to excess plasma production. Magnetic field indices are available in one-hour resolution from the web interface of the National Aeronautics and Space Administration (NASA) Goddard Space Physics Data Facility (SPDF) (Papitashvili, 2024a, Papitashvili, 2024b).</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(De Canck, 2007).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(NOAAcfedg, 2024b)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(Matzka, 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(NOAAcfedg, 2024c)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(Papitashvili, 2024a, Papitashvili, 2024b)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(Myint et al., 2022).</w:t>
      </w:r>
    </w:p>
    <w:p>
      <w:pPr>
        <w:pStyle w:val="BodyText"/>
      </w:pPr>
      <w:r>
        <w:t xml:space="preserve">The NOAA SWPC (NOAAcfedg, 2024d)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(NOAAcfedg, 2024e, NOAAcfedg, 2024f)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(Matzka, Bronkalla, et al., 2021a) and a scientific publication (Matzka, Bronkalla, et al., 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(NOAAcfedg, 2024e, NOAAcfedg, 2024f).</w:t>
      </w:r>
    </w:p>
    <w:tbl>
      <w:tblPr>
        <w:tblStyle w:val="Table"/>
        <w:tblW w:type="auto" w:w="0"/>
        <w:tblLook w:firstRow="1" w:lastRow="0" w:firstColumn="0" w:lastColumn="0" w:noHBand="0" w:noVBand="0" w:val="0020"/>
        <w:tblCaption w:val="The K_{p}-index as related to geomagnetic storm descriptions and warnings using the NOAA G scale (NOAAcfedg, 2024e, NOAAcfedg, 2024f)."/>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(NOAAcfedg, 2024g)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(NOAAcfedg, 2024b).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(NOAAcfedg, 2024g).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r>
        <w:t xml:space="preserve"> </w:t>
      </w: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(NOAAcfedg, 2024b).</w:t>
      </w:r>
    </w:p>
    <w:tbl>
      <w:tblPr>
        <w:tblStyle w:val="Table"/>
        <w:tblW w:type="auto" w:w="0"/>
        <w:tblLook w:firstRow="1" w:lastRow="0" w:firstColumn="0" w:lastColumn="0" w:noHBand="0" w:noVBand="0" w:val="0020"/>
        <w:tblCaption w:val="The a-index values for each K-index, from (NOAAcfedg, 2024b)."/>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(NOAAcfedg, 2024g).</w:t>
      </w:r>
    </w:p>
    <w:tbl>
      <w:tblPr>
        <w:tblStyle w:val="Table"/>
        <w:tblW w:type="auto" w:w="0"/>
        <w:tblLook w:firstRow="1" w:lastRow="0" w:firstColumn="0" w:lastColumn="0" w:noHBand="0" w:noVBand="0" w:val="0020"/>
        <w:tblCaption w:val="The a_{p}-index values for each K_{p}-index, from (NOAAcfedg, 2024g)."/>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(Prölss, 2012).</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(J. Y. Liu et al., 2009) can increase signal delay which can cause positioning errors, especially critical for high-precision applications (Durmaz &amp; Karslioglu, 2015, C. Jin &amp; Wang, 2012b).</w:t>
      </w:r>
      <w:r>
        <w:t xml:space="preserve"> </w:t>
      </w:r>
      <m:oMath>
        <m:r>
          <m:t>T</m:t>
        </m:r>
        <m:r>
          <m:t>E</m:t>
        </m:r>
        <m:r>
          <m:t>C</m:t>
        </m:r>
      </m:oMath>
      <w:r>
        <w:t xml:space="preserve"> </w:t>
      </w:r>
      <w:r>
        <w:t xml:space="preserve">can be calculated as indicated in Equation </w:t>
      </w:r>
      <w:hyperlink w:anchor="eqn:1">
        <w:r>
          <w:rPr>
            <w:rStyle w:val="Hyperlink"/>
          </w:rPr>
          <w:t xml:space="preserve">[eqn:1]</w:t>
        </w:r>
      </w:hyperlink>
      <w:r>
        <w:t xml:space="preserve">, Equation </w:t>
      </w:r>
      <w:hyperlink w:anchor="eqn:2">
        <w:r>
          <w:rPr>
            <w:rStyle w:val="Hyperlink"/>
          </w:rPr>
          <w:t xml:space="preserve">[eqn:2]</w:t>
        </w:r>
      </w:hyperlink>
      <w:r>
        <w:t xml:space="preserve">, and Equation </w:t>
      </w:r>
      <w:hyperlink w:anchor="eqn:3">
        <w:r>
          <w:rPr>
            <w:rStyle w:val="Hyperlink"/>
          </w:rPr>
          <w:t xml:space="preserve">[eqn:3]</w:t>
        </w:r>
      </w:hyperlink>
      <w:r>
        <w:t xml:space="preserve">.</w:t>
      </w:r>
    </w:p>
    <w:p>
      <w:pPr>
        <w:pStyle w:val="BodyText"/>
      </w:pPr>
      <w:r>
        <w:t xml:space="preserve">The Global Positioning System (GPS) ionospheric delay (Schaer, 1999) on the radio ray path between the satellite and receiver is defined in Equation </w:t>
      </w:r>
      <w:hyperlink w:anchor="eqn:6">
        <w:r>
          <w:rPr>
            <w:rStyle w:val="Hyperlink"/>
          </w:rPr>
          <w:t xml:space="preserve">[eqn:6]</w:t>
        </w:r>
      </w:hyperlink>
      <w:r>
        <w:t xml:space="preserve"> </w:t>
      </w:r>
      <w:r>
        <w:t xml:space="preserve">(Spilker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w:t>
      </w:r>
      <w:hyperlink w:anchor="eqn:7">
        <w:r>
          <w:rPr>
            <w:rStyle w:val="Hyperlink"/>
          </w:rPr>
          <w:t xml:space="preserve">[eqn:7]</w:t>
        </w:r>
      </w:hyperlink>
      <w:r>
        <w:t xml:space="preserve"> </w:t>
      </w:r>
      <w:r>
        <w:t xml:space="preserve">(Spilker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w:t>
      </w:r>
      <w:hyperlink w:anchor="eqn:8">
        <w:r>
          <w:rPr>
            <w:rStyle w:val="Hyperlink"/>
          </w:rPr>
          <w:t xml:space="preserve">[eqn:8]</w:t>
        </w:r>
      </w:hyperlink>
      <w:r>
        <w:t xml:space="preserve"> </w:t>
      </w:r>
      <w:r>
        <w:t xml:space="preserve">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w:t>
      </w:r>
      <w:hyperlink w:anchor="eqn:6">
        <w:r>
          <w:rPr>
            <w:rStyle w:val="Hyperlink"/>
          </w:rPr>
          <w:t xml:space="preserve">[eqn:6]</w:t>
        </w:r>
      </w:hyperlink>
      <w:r>
        <w:t xml:space="preserve"> </w:t>
      </w:r>
      <w:r>
        <w:t xml:space="preserve">and Equation </w:t>
      </w:r>
      <w:hyperlink w:anchor="eqn:8">
        <w:r>
          <w:rPr>
            <w:rStyle w:val="Hyperlink"/>
          </w:rPr>
          <w:t xml:space="preserve">[eqn:8]</w:t>
        </w:r>
      </w:hyperlink>
      <w:r>
        <w:t xml:space="preserve"> </w:t>
      </w:r>
      <w:r>
        <w:t xml:space="preserve">yields Equation </w:t>
      </w:r>
      <w:hyperlink w:anchor="eqn:9">
        <w:r>
          <w:rPr>
            <w:rStyle w:val="Hyperlink"/>
          </w:rPr>
          <w:t xml:space="preserve">[eqn:9]</w:t>
        </w:r>
      </w:hyperlink>
      <w:r>
        <w:t xml:space="preserve"> </w:t>
      </w:r>
      <w:r>
        <w:t xml:space="preserve">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(Spilker Jr et al., 1996) in Equation </w:t>
      </w:r>
      <w:hyperlink w:anchor="eqn:10">
        <w:r>
          <w:rPr>
            <w:rStyle w:val="Hyperlink"/>
          </w:rPr>
          <w:t xml:space="preserve">[eqn:10]</w:t>
        </w:r>
      </w:hyperlink>
      <w:r>
        <w:t xml:space="preserve"> </w:t>
      </w:r>
      <w:r>
        <w:t xml:space="preserve">is calculated using the integral on the right side of Equation </w:t>
      </w:r>
      <w:hyperlink w:anchor="eqn:9">
        <w:r>
          <w:rPr>
            <w:rStyle w:val="Hyperlink"/>
          </w:rPr>
          <w:t xml:space="preserve">[eqn:9]</w:t>
        </w:r>
      </w:hyperlink>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w:t>
      </w:r>
      <w:hyperlink w:anchor="eqn:10">
        <w:r>
          <w:rPr>
            <w:rStyle w:val="Hyperlink"/>
          </w:rPr>
          <w:t xml:space="preserve">[eqn:10]</w:t>
        </w:r>
      </w:hyperlink>
      <w:r>
        <w:t xml:space="preserve">, Equation </w:t>
      </w:r>
      <w:hyperlink w:anchor="eqn:9">
        <w:r>
          <w:rPr>
            <w:rStyle w:val="Hyperlink"/>
          </w:rPr>
          <w:t xml:space="preserve">[eqn:9]</w:t>
        </w:r>
      </w:hyperlink>
      <w:r>
        <w:t xml:space="preserve"> </w:t>
      </w:r>
      <w:r>
        <w:t xml:space="preserve">can be written as shown in Equation </w:t>
      </w:r>
      <w:hyperlink w:anchor="eqn:11">
        <w:r>
          <w:rPr>
            <w:rStyle w:val="Hyperlink"/>
          </w:rPr>
          <w:t xml:space="preserve">[eqn:11]</w:t>
        </w:r>
      </w:hyperlink>
      <w:r>
        <w:t xml:space="preserve">.</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w:t>
      </w:r>
      <w:hyperlink w:anchor="eqn:12">
        <w:r>
          <w:rPr>
            <w:rStyle w:val="Hyperlink"/>
          </w:rPr>
          <w:t xml:space="preserve">[eqn:12]</w:t>
        </w:r>
      </w:hyperlink>
      <w:r>
        <w:t xml:space="preserve">.</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w:t>
      </w:r>
      <w:hyperlink w:anchor="eqn:12">
        <w:r>
          <w:rPr>
            <w:rStyle w:val="Hyperlink"/>
          </w:rPr>
          <w:t xml:space="preserve">[eqn:12]</w:t>
        </w:r>
      </w:hyperlink>
      <w:r>
        <w:t xml:space="preserve">, the relation between the</w:t>
      </w:r>
      <w:r>
        <w:t xml:space="preserve"> </w:t>
      </w:r>
      <m:oMath>
        <m:r>
          <m:t>T</m:t>
        </m:r>
        <m:r>
          <m:t>E</m:t>
        </m:r>
        <m:r>
          <m:t>C</m:t>
        </m:r>
      </m:oMath>
      <w:r>
        <w:t xml:space="preserve"> </w:t>
      </w:r>
      <w:r>
        <w:t xml:space="preserve">and GPS pseudo-range measurements can be established in Equation </w:t>
      </w:r>
      <w:hyperlink w:anchor="eqn:13">
        <w:r>
          <w:rPr>
            <w:rStyle w:val="Hyperlink"/>
          </w:rPr>
          <w:t xml:space="preserve">[eqn:13]</w:t>
        </w:r>
      </w:hyperlink>
      <w:r>
        <w:t xml:space="preserve"> </w:t>
      </w:r>
      <w:r>
        <w:t xml:space="preserve">(Spilker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w:t>
      </w:r>
      <w:hyperlink w:anchor="eqn:13">
        <w:r>
          <w:rPr>
            <w:rStyle w:val="Hyperlink"/>
          </w:rPr>
          <w:t xml:space="preserve">[eqn:13]</w:t>
        </w:r>
      </w:hyperlink>
      <w:r>
        <w:t xml:space="preserve"> </w:t>
      </w:r>
      <w:r>
        <w:t xml:space="preserve">can be rewritten as in Equation </w:t>
      </w:r>
      <w:hyperlink w:anchor="eqn:14">
        <w:r>
          <w:rPr>
            <w:rStyle w:val="Hyperlink"/>
          </w:rPr>
          <w:t xml:space="preserve">[eqn:14]</w:t>
        </w:r>
      </w:hyperlink>
      <w:r>
        <w:t xml:space="preserve">,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w:t>
      </w:r>
      <w:hyperlink w:anchor="eqn:14">
        <w:r>
          <w:rPr>
            <w:rStyle w:val="Hyperlink"/>
          </w:rPr>
          <w:t xml:space="preserve">[eqn:14]</w:t>
        </w:r>
      </w:hyperlink>
      <w:r>
        <w:t xml:space="preserve">.</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w:t>
      </w:r>
      <w:hyperlink w:anchor="eqn:15">
        <w:r>
          <w:rPr>
            <w:rStyle w:val="Hyperlink"/>
          </w:rPr>
          <w:t xml:space="preserve">[eqn:15]</w:t>
        </w:r>
      </w:hyperlink>
      <w:r>
        <w:t xml:space="preserve"> </w:t>
      </w:r>
      <w:r>
        <w:t xml:space="preserve">(Enge,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(Pradipta et al., 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(Pradipta &amp; Doherty, 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(Zolesi &amp; Cander, 2014).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(Papitashvili, 2024a, Papitashvili, 2024b), and the Geomagnetism and Space Magnetism Data Analysis Center of the Institute of Science, Kyoto University in Japan.</w:t>
      </w:r>
    </w:p>
    <w:p>
      <w:pPr>
        <w:pStyle w:val="BodyText"/>
      </w:pPr>
      <w:r>
        <w:t xml:space="preserve">Loewe and Prölss, in 1997 (Loewe &amp; Prölss, 1997) classified magnetic activity</w:t>
      </w:r>
      <w:r>
        <w:t xml:space="preserve"> </w:t>
      </w:r>
      <m:oMath>
        <m:r>
          <m:t>D</m:t>
        </m:r>
        <m:r>
          <m:t>s</m:t>
        </m:r>
        <m:r>
          <m:t>t</m:t>
        </m:r>
      </m:oMath>
      <w:r>
        <w:t xml:space="preserve">-indices into five storm classes, as shown in Table </w:t>
      </w:r>
      <w:hyperlink w:anchor="tab:loewe1997">
        <w:r>
          <w:rPr>
            <w:rStyle w:val="Hyperlink"/>
          </w:rPr>
          <w:t xml:space="preserve">6</w:t>
        </w:r>
      </w:hyperlink>
      <w:r>
        <w:t xml:space="preserve">. Gonzalez et al. (Gonzalez et al., 1994) used three groups for the same data in 1994, as shown in Table </w:t>
      </w:r>
      <w:hyperlink w:anchor="tab:gonzalez1994">
        <w:r>
          <w:rPr>
            <w:rStyle w:val="Hyperlink"/>
          </w:rPr>
          <w:t xml:space="preserve">7</w:t>
        </w:r>
      </w:hyperlink>
      <w:r>
        <w:t xml:space="preserve">, similar to Kamide et al. in 1998 (Kamide et al., 1998), Rozhnoi et al. in 2004 (Rozhnoi et al., 2004), and Contadakis et al. in 2012 (Contadakis et al., 2012).</w:t>
      </w:r>
    </w:p>
    <w:bookmarkStart w:id="40" w:name="tab:loewe1997"/>
    <w:p>
      <w:pPr>
        <w:pStyle w:val="TableCaption"/>
      </w:pPr>
      <w:r>
        <w:t xml:space="preserve">Storm classification from Loewe and Prölss, in 1997 (Loewe &amp; Prölss, 1997).</w:t>
      </w:r>
    </w:p>
    <w:tbl>
      <w:tblPr>
        <w:tblStyle w:val="Table"/>
        <w:tblW w:type="auto" w:w="0"/>
        <w:tblLook w:firstRow="0" w:lastRow="0" w:firstColumn="0" w:lastColumn="0" w:noHBand="0" w:noVBand="0" w:val="0000"/>
        <w:tblCaption w:val="Storm classification from Loewe and Prölss, in 1997 (Loewe &amp; Prölss, 1997)."/>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(Gonzalez et al., 1994).</w:t>
      </w:r>
    </w:p>
    <w:tbl>
      <w:tblPr>
        <w:tblStyle w:val="Table"/>
        <w:tblW w:type="auto" w:w="0"/>
        <w:tblLook w:firstRow="0" w:lastRow="0" w:firstColumn="0" w:lastColumn="0" w:noHBand="0" w:noVBand="0" w:val="0000"/>
        <w:tblCaption w:val="Storm classification from Gonzales et al., in 1994 (Gonzalez et al., 1994)."/>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w:t>
      </w:r>
      <w:hyperlink w:anchor="eqn:16">
        <w:r>
          <w:rPr>
            <w:rStyle w:val="Hyperlink"/>
          </w:rPr>
          <w:t xml:space="preserve">[eqn:16]</w:t>
        </w:r>
      </w:hyperlink>
      <w:r>
        <w:t xml:space="preserve">.</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w:t>
      </w:r>
      <w:hyperlink w:anchor="eqn:17">
        <w:r>
          <w:rPr>
            <w:rStyle w:val="Hyperlink"/>
          </w:rPr>
          <w:t xml:space="preserve">[eqn:17]</w:t>
        </w:r>
      </w:hyperlink>
      <w:r>
        <w:t xml:space="preserve"> </w:t>
      </w:r>
      <w:r>
        <w:t xml:space="preserve">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w:t>
      </w:r>
      <w:hyperlink w:anchor="eqn:18">
        <w:r>
          <w:rPr>
            <w:rStyle w:val="Hyperlink"/>
          </w:rPr>
          <w:t xml:space="preserve">[eqn:18]</w:t>
        </w:r>
      </w:hyperlink>
      <w:r>
        <w:t xml:space="preserve"> </w:t>
      </w:r>
      <w:r>
        <w:t xml:space="preserve">denotes all such events. Equation </w:t>
      </w:r>
      <w:hyperlink w:anchor="eqn:19">
        <w:r>
          <w:rPr>
            <w:rStyle w:val="Hyperlink"/>
          </w:rPr>
          <w:t xml:space="preserve">[eqn:19]</w:t>
        </w:r>
      </w:hyperlink>
      <w:r>
        <w:t xml:space="preserve"> </w:t>
      </w:r>
      <w:r>
        <w:t xml:space="preserve">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w:t>
      </w:r>
      <w:hyperlink w:anchor="eqn:20">
        <w:r>
          <w:rPr>
            <w:rStyle w:val="Hyperlink"/>
          </w:rPr>
          <w:t xml:space="preserve">[eqn:20]</w:t>
        </w:r>
      </w:hyperlink>
      <w:r>
        <w:t xml:space="preserve"> </w:t>
      </w:r>
      <w:r>
        <w:t xml:space="preserve">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w:t>
      </w:r>
      <w:hyperlink w:anchor="eqn:21">
        <w:r>
          <w:rPr>
            <w:rStyle w:val="Hyperlink"/>
          </w:rPr>
          <w:t xml:space="preserve">[eqn:21]</w:t>
        </w:r>
      </w:hyperlink>
      <w:r>
        <w:t xml:space="preserve"> </w:t>
      </w:r>
      <w:r>
        <w:t xml:space="preserve">is derived from the construction in Equation </w:t>
      </w:r>
      <w:hyperlink w:anchor="eqn:22">
        <w:r>
          <w:rPr>
            <w:rStyle w:val="Hyperlink"/>
          </w:rPr>
          <w:t xml:space="preserve">[eqn:22]</w:t>
        </w:r>
      </w:hyperlink>
      <w:r>
        <w:t xml:space="preserve"> </w:t>
      </w:r>
      <w:r>
        <w:t xml:space="preserve">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w:t>
      </w:r>
      <w:hyperlink w:anchor="eqn:23">
        <w:r>
          <w:rPr>
            <w:rStyle w:val="Hyperlink"/>
          </w:rPr>
          <w:t xml:space="preserve">[eqn:23]</w:t>
        </w:r>
      </w:hyperlink>
      <w:r>
        <w:t xml:space="preserve">,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w:t>
      </w:r>
      <w:hyperlink w:anchor="eqn:24">
        <w:r>
          <w:rPr>
            <w:rStyle w:val="Hyperlink"/>
          </w:rPr>
          <w:t xml:space="preserve">[eqn:24]</w:t>
        </w:r>
      </w:hyperlink>
      <w:r>
        <w:t xml:space="preserve"> </w:t>
      </w:r>
      <w:r>
        <w:t xml:space="preserve">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w:t>
      </w:r>
      <w:hyperlink w:anchor="eqn:25">
        <w:r>
          <w:rPr>
            <w:rStyle w:val="Hyperlink"/>
          </w:rPr>
          <w:t xml:space="preserve">[eqn:25]</w:t>
        </w:r>
      </w:hyperlink>
      <w:r>
        <w:t xml:space="preserve"> </w:t>
      </w:r>
      <w:r>
        <w:t xml:space="preserve">contains the Cohen’s Kappa formula (Chicco et al., 2021)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(Heidke, 1926, D.C., 1887, 1887).</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bookmarkStart w:id="109"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W. K. Tobiska,</w:t>
      </w:r>
      <w:r>
        <w:t xml:space="preserve"> </w:t>
      </w:r>
      <w:r>
        <w:t xml:space="preserve">“Current status of solar EUV measurements and modeling,”</w:t>
      </w:r>
      <w:r>
        <w:t xml:space="preserve"> </w:t>
      </w:r>
      <w:r>
        <w:t xml:space="preserve">Advances in Space Research, vol. 18, no. 3, pp. 3–10, 1996.</w:t>
      </w:r>
    </w:p>
    <w:p>
      <w:pPr>
        <w:pStyle w:val="BodyText"/>
      </w:pPr>
      <w:r>
        <w:t xml:space="preserve">[132] Y. I. Vitinsky, M. Kopecky, and G. V. Kuklin, Statistics of Sunspot Activity (Moscow, USSR. Nauka, 1986.</w:t>
      </w:r>
    </w:p>
    <w:p>
      <w:pPr>
        <w:pStyle w:val="BodyText"/>
      </w:pPr>
      <w:r>
        <w:t xml:space="preserve">[133] G. E. Lanyi and T. Roth,</w:t>
      </w:r>
      <w:r>
        <w:t xml:space="preserve"> </w:t>
      </w:r>
      <w:r>
        <w:t xml:space="preserve">“A comparison of mapped and measured total ionospheric electron content using global positioning system and beacon satellite observations,”</w:t>
      </w:r>
      <w:r>
        <w:t xml:space="preserve"> </w:t>
      </w:r>
      <w:r>
        <w:t xml:space="preserve">Radio science, vol. 23, no. 4, pp. 483–492, 1988.</w:t>
      </w:r>
    </w:p>
    <w:p>
      <w:pPr>
        <w:pStyle w:val="BodyText"/>
      </w:pPr>
      <w:r>
        <w:t xml:space="preserve">[134] H. Rishbeth and O. K. Garriott,</w:t>
      </w:r>
      <w:r>
        <w:t xml:space="preserve"> </w:t>
      </w:r>
      <w:r>
        <w:t xml:space="preserve">“Introduction to ionospheric physics,”</w:t>
      </w:r>
      <w:r>
        <w:t xml:space="preserve"> </w:t>
      </w:r>
      <w:r>
        <w:t xml:space="preserve">Introduction to ionospheric physics, 1969.</w:t>
      </w:r>
    </w:p>
    <w:p>
      <w:pPr>
        <w:pStyle w:val="BodyText"/>
      </w:pPr>
      <w:r>
        <w:t xml:space="preserve">[135] J. A. Ratcliffe, An introduction to ionosphere and magnetosphere. Cambridge, United Kingdom: CUP Archive, 1972.</w:t>
      </w:r>
    </w:p>
    <w:p>
      <w:pPr>
        <w:pStyle w:val="BodyText"/>
      </w:pPr>
      <w:r>
        <w:t xml:space="preserve">[136] J. A. Klobuchar,</w:t>
      </w:r>
      <w:r>
        <w:t xml:space="preserve"> </w:t>
      </w:r>
      <w:r>
        <w:t xml:space="preserve">“Design and characteristics of the GPS ionospheric time delay algorithm for single frequency users,”</w:t>
      </w:r>
      <w:r>
        <w:t xml:space="preserve"> </w:t>
      </w:r>
      <w:r>
        <w:t xml:space="preserve">in PLANS 1986-Position Location and Navigation Symposium, 1986, pp. 280–286.</w:t>
      </w:r>
    </w:p>
    <w:p>
      <w:pPr>
        <w:pStyle w:val="BodyText"/>
      </w:pPr>
      <w:r>
        <w:t xml:space="preserve">[137] B. Zolesi and Lj. R. Cander, Ionospheric prediction and forecasting. Berlin/Heidelberg, Germany: Springer, 2014.</w:t>
      </w:r>
    </w:p>
    <w:p>
      <w:pPr>
        <w:pStyle w:val="BodyText"/>
      </w:pPr>
      <w:r>
        <w:t xml:space="preserve">[138] A. Komjathy,</w:t>
      </w:r>
      <w:r>
        <w:t xml:space="preserve"> </w:t>
      </w:r>
      <w:r>
        <w:t xml:space="preserve">“Global ionospheric total electron content mapping using the Global Positioning System,”</w:t>
      </w:r>
      <w:r>
        <w:t xml:space="preserve"> </w:t>
      </w:r>
      <w:r>
        <w:t xml:space="preserve">2023.</w:t>
      </w:r>
    </w:p>
    <w:p>
      <w:pPr>
        <w:pStyle w:val="BodyText"/>
      </w:pPr>
      <w:r>
        <w:t xml:space="preserve">[139] NOAA, HF Radio Communications | NOAA / NWS Space Weather Prediction Center — swpc.noaa.gov. http://www.swpc.noaa.gov/impacts/hf-radio-communications, 2024. [Online] . Available: http://www.swpc.noaa.gov/impacts/hf-radio-communications</w:t>
      </w:r>
    </w:p>
    <w:p>
      <w:pPr>
        <w:pStyle w:val="BodyText"/>
      </w:pPr>
      <w:r>
        <w:t xml:space="preserve">[140] A. Gray, Solar weather monitoring - National Research Council Canada — nrc.canada.ca. https://nrc.canada.ca/en/research-development/products-services/technical-advisory-services/solar-weather-monitoring, 2019. [Online] . Available: https://nrc.canada.ca/en/research-development/products-services/technical-advisory-services/solar-weather-monitoring</w:t>
      </w:r>
    </w:p>
    <w:p>
      <w:pPr>
        <w:pStyle w:val="BodyText"/>
      </w:pPr>
      <w:r>
        <w:t xml:space="preserve">[141] A. Gray, Introducing the solar radio program — spaceweather.gc.ca. https://www.spaceweather.gc.ca/forecast-prevision/solar-solaire/solarflux/sx-1-en.php, 2021. [Online] . Available: https://www.spaceweather.gc.ca/forecast-prevision/solar-solaire/solarflux/sx-1-en.php</w:t>
      </w:r>
    </w:p>
    <w:p>
      <w:pPr>
        <w:pStyle w:val="BodyText"/>
      </w:pPr>
      <w:r>
        <w:t xml:space="preserve">[142] U. Wild,</w:t>
      </w:r>
      <w:r>
        <w:t xml:space="preserve"> </w:t>
      </w:r>
      <w:r>
        <w:t xml:space="preserve">“Ionosphere and geodetic satellite systems: permanent GPS tracking data for modelling and monitoring.,”</w:t>
      </w:r>
      <w:r>
        <w:t xml:space="preserve"> </w:t>
      </w:r>
      <w:r>
        <w:t xml:space="preserve">Geodätisch-geophysikalische Arbeiten in der Schweiz, vol. 48, 1994.</w:t>
      </w:r>
    </w:p>
    <w:p>
      <w:pPr>
        <w:pStyle w:val="BodyText"/>
      </w:pPr>
      <w:r>
        <w:t xml:space="preserve">[143] M. Hawarey and T. Ayan,</w:t>
      </w:r>
      <w:r>
        <w:t xml:space="preserve"> </w:t>
      </w:r>
      <w:r>
        <w:t xml:space="preserve">“Uzay mekiği tırmanışı, deprem, ve füze fırlatılışından kaynaklanan TEC değişimlerinin GPS ile belirlenmesi,”</w:t>
      </w:r>
      <w:r>
        <w:t xml:space="preserve"> </w:t>
      </w:r>
      <w:r>
        <w:t xml:space="preserve">İTÜDERGİSİ/d, vol. 3, no. 2-3-4–5, 2010.</w:t>
      </w:r>
    </w:p>
    <w:p>
      <w:pPr>
        <w:pStyle w:val="BodyText"/>
      </w:pPr>
      <w:r>
        <w:t xml:space="preserve">[144] S. Kotz, N. Balakrishnan, C. B. Read, B. Vidakovic, and N. L. Johnson, Encyclopedia of Statistical Sciences, Volume 1. Hoboken, New Jersey, U.S.: John Wiley &amp; Sons, 2005.</w:t>
      </w:r>
    </w:p>
    <w:p>
      <w:pPr>
        <w:pStyle w:val="BodyText"/>
      </w:pPr>
      <w:r>
        <w:t xml:space="preserve">[145] P. I. Vellinov, C. W. Spassov, and S. I. Kolev,</w:t>
      </w:r>
      <w:r>
        <w:t xml:space="preserve"> </w:t>
      </w:r>
      <w:r>
        <w:t xml:space="preserve">“Ionospheric effects of lightning during the increasing part of solar cycle 22,”</w:t>
      </w:r>
      <w:r>
        <w:t xml:space="preserve"> </w:t>
      </w:r>
      <w:r>
        <w:t xml:space="preserve">Journal of atmospheric and terrestrial physics, vol. 54, no. 10, pp. 1347–1353, 1992.</w:t>
      </w:r>
    </w:p>
    <w:p>
      <w:pPr>
        <w:pStyle w:val="BodyText"/>
      </w:pPr>
      <w:r>
        <w:t xml:space="preserve">[146] M. Liu, G. Luo, and H. Wang,</w:t>
      </w:r>
      <w:r>
        <w:t xml:space="preserve"> </w:t>
      </w:r>
      <w:r>
        <w:t xml:space="preserve">“The 2013 Lushan earthquake in China tests hazard assessments,”</w:t>
      </w:r>
      <w:r>
        <w:t xml:space="preserve"> </w:t>
      </w:r>
      <w:r>
        <w:t xml:space="preserve">Seismological Research Letters, vol. 85, no. 1, pp. 40–43, 2014.</w:t>
      </w:r>
    </w:p>
    <w:p>
      <w:pPr>
        <w:pStyle w:val="BodyText"/>
      </w:pPr>
      <w:r>
        <w:t xml:space="preserve">[147] M. Ulukavak and M. Yalcinkaya,</w:t>
      </w:r>
      <w:r>
        <w:t xml:space="preserve"> </w:t>
      </w:r>
      <w:r>
        <w:t xml:space="preserve">“Analysis of ionospheric anomalies due to space weather conditions by using GPS-TEC variations,”</w:t>
      </w:r>
      <w:r>
        <w:t xml:space="preserve"> </w:t>
      </w:r>
      <w:r>
        <w:t xml:space="preserve">in FIG Congress, 2018, pp. 6–11.</w:t>
      </w:r>
    </w:p>
    <w:p>
      <w:pPr>
        <w:pStyle w:val="BodyText"/>
      </w:pPr>
      <w:r>
        <w:t xml:space="preserve">[148] R. Schwenn,</w:t>
      </w:r>
      <w:r>
        <w:t xml:space="preserve"> </w:t>
      </w:r>
      <w:r>
        <w:t xml:space="preserve">“Solar wind: Global properties,”</w:t>
      </w:r>
      <w:r>
        <w:t xml:space="preserve"> </w:t>
      </w:r>
      <w:r>
        <w:t xml:space="preserve">in Encyclopedia of Astronomy &amp; Astrophysics, CRC Press, 2001, pp. 1–9.</w:t>
      </w:r>
    </w:p>
    <w:p>
      <w:pPr>
        <w:pStyle w:val="BodyText"/>
      </w:pPr>
      <w:r>
        <w:t xml:space="preserve">[149] V. F. Melnikov,</w:t>
      </w:r>
      <w:r>
        <w:t xml:space="preserve"> </w:t>
      </w:r>
      <w:r>
        <w:t xml:space="preserve">“Relationships between Microwave, Hard X ray, and Corpuscular Emissions of Solar Flares,”</w:t>
      </w:r>
      <w:r>
        <w:t xml:space="preserve"> </w:t>
      </w:r>
      <w:r>
        <w:t xml:space="preserve">phdthesis, Ph. D. Thesis, Radiophysical Research Institute, Nizhniy Novgorod, Russia, 1990.</w:t>
      </w:r>
    </w:p>
    <w:p>
      <w:pPr>
        <w:pStyle w:val="BodyText"/>
      </w:pPr>
      <w:r>
        <w:t xml:space="preserve">[150] P. Harden,</w:t>
      </w:r>
      <w:r>
        <w:t xml:space="preserve"> </w:t>
      </w:r>
      <w:r>
        <w:t xml:space="preserve">“Solar Activity &amp; HF Propagation,”</w:t>
      </w:r>
      <w:r>
        <w:t xml:space="preserve"> </w:t>
      </w:r>
      <w:r>
        <w:t xml:space="preserve">QRP Amateur Radio Club International, 2005.</w:t>
      </w:r>
    </w:p>
    <w:p>
      <w:pPr>
        <w:pStyle w:val="BodyText"/>
      </w:pPr>
      <w:r>
        <w:t xml:space="preserve">[151] W. D. Gonzalez et al.,</w:t>
      </w:r>
      <w:r>
        <w:t xml:space="preserve"> </w:t>
      </w:r>
      <w:r>
        <w:t xml:space="preserve">“What is a geomagnetic storm?,”</w:t>
      </w:r>
      <w:r>
        <w:t xml:space="preserve"> </w:t>
      </w:r>
      <w:r>
        <w:t xml:space="preserve">Journal of Geophysical Research: Space Physics, vol. 99, no. A4, pp. 5771–5792, 1994.</w:t>
      </w:r>
    </w:p>
    <w:p>
      <w:pPr>
        <w:pStyle w:val="BodyText"/>
      </w:pPr>
      <w:r>
        <w:t xml:space="preserve">[152] R. Viereck, Solar EUV Irradiance | NOAA / NWS Space Weather Prediction Center — swpc.noaa.gov. http://www.swpc.noaa.gov/phenomena/solar-euv-irradiance, 2024. [Online] . Available: http://www.swpc.noaa.gov/phenomena/solar-euv-irradiance</w:t>
      </w:r>
    </w:p>
    <w:p>
      <w:pPr>
        <w:pStyle w:val="BodyText"/>
      </w:pPr>
      <w:r>
        <w:t xml:space="preserve">[153] M. Aschwanden, Physics of the solar corona: an introduction with problems and solutions. Berlin/Heidelberg, Germany: Springer Science &amp; Business Media, 2006.</w:t>
      </w:r>
    </w:p>
    <w:p>
      <w:pPr>
        <w:pStyle w:val="BodyText"/>
      </w:pPr>
      <w:r>
        <w:t xml:space="preserve">[154] G. Abraha,</w:t>
      </w:r>
      <w:r>
        <w:t xml:space="preserve"> </w:t>
      </w:r>
      <w:r>
        <w:t xml:space="preserve">“Total electron content (TEC) variability of low latitude ionosphere and role of dynamical coupling: quiet and storm-time characteristics,”</w:t>
      </w:r>
      <w:r>
        <w:t xml:space="preserve"> </w:t>
      </w:r>
      <w:r>
        <w:t xml:space="preserve">phdthesis, Addis Ababa University, 2014.</w:t>
      </w:r>
    </w:p>
    <w:p>
      <w:pPr>
        <w:pStyle w:val="BodyText"/>
      </w:pPr>
      <w:r>
        <w:t xml:space="preserve">[155] T. Turunen and M. M. Rao,</w:t>
      </w:r>
      <w:r>
        <w:t xml:space="preserve"> </w:t>
      </w:r>
      <w:r>
        <w:t xml:space="preserve">“Examples of the influence of strong magnetic storms on the equatorial F-layer,”</w:t>
      </w:r>
      <w:r>
        <w:t xml:space="preserve"> </w:t>
      </w:r>
      <w:r>
        <w:t xml:space="preserve">Journal of Atmospheric and Terrestrial Physics, vol. 42, no. 4, pp. 323–330, 1980.</w:t>
      </w:r>
    </w:p>
    <w:p>
      <w:pPr>
        <w:pStyle w:val="BodyText"/>
      </w:pPr>
      <w:r>
        <w:t xml:space="preserve">[156] J. O. Adeniyi,</w:t>
      </w:r>
      <w:r>
        <w:t xml:space="preserve"> </w:t>
      </w:r>
      <w:r>
        <w:t xml:space="preserve">“Magnetic storm effects on the morphology of the equatorial F2-layer,”</w:t>
      </w:r>
      <w:r>
        <w:t xml:space="preserve"> </w:t>
      </w:r>
      <w:r>
        <w:t xml:space="preserve">Journal of atmospheric and terrestrial physics, vol. 48, no. 8, pp. 695–702, 1986.</w:t>
      </w:r>
    </w:p>
    <w:p>
      <w:pPr>
        <w:pStyle w:val="BodyText"/>
      </w:pPr>
      <w:r>
        <w:t xml:space="preserve">[157] N. Papitashvili, SPDF - About OMNIWeb Data — omniweb.gsfc.nasa.gov. http://omniweb.gsfc.nasa.gov/html/ow_data.html, 2024. [Online] . Available: http://omniweb.gsfc.nasa.gov/html/ow_data.html</w:t>
      </w:r>
    </w:p>
    <w:p>
      <w:pPr>
        <w:pStyle w:val="BodyText"/>
      </w:pPr>
      <w:r>
        <w:t xml:space="preserve">[158] N. Papitashvili, OMNIWeb Data Explorer — omniweb.gsfc.nasa.gov. http://omniweb.gsfc.nasa.gov/form/dx1.html, 2024. [Online] . Available: http://omniweb.gsfc.nasa.gov/form/dx1.html</w:t>
      </w:r>
    </w:p>
    <w:p>
      <w:pPr>
        <w:pStyle w:val="BodyText"/>
      </w:pPr>
      <w:r>
        <w:t xml:space="preserve">[159] M. H. De Canck,</w:t>
      </w:r>
      <w:r>
        <w:t xml:space="preserve"> </w:t>
      </w:r>
      <w:r>
        <w:t xml:space="preserve">“Ionosphere properties and behaviors,”</w:t>
      </w:r>
      <w:r>
        <w:t xml:space="preserve"> </w:t>
      </w:r>
      <w:r>
        <w:t xml:space="preserve">Antennex, vol. 119, pp. 6–7, 2007.</w:t>
      </w:r>
    </w:p>
    <w:p>
      <w:pPr>
        <w:pStyle w:val="BodyText"/>
      </w:pPr>
      <w:r>
        <w:t xml:space="preserve">[160] NOAA, swpc.noaa.gov. https://www.swpc.noaa.gov/sites/default/files/images/u2/TheK-index.pdf, 2024. [Online] . Available: https://www.swpc.noaa.gov/sites/default/files/images/u2/TheK-index.pdf</w:t>
      </w:r>
    </w:p>
    <w:p>
      <w:pPr>
        <w:pStyle w:val="BodyText"/>
      </w:pPr>
      <w:r>
        <w:t xml:space="preserve">[161] J. Matzka, Kp Index — gfz-potsdam.de. https://www.gfz-potsdam.de/en/section/geomagnetism/data-products-services/geomagnetic-kp-index, 2024. [Online] . Available: https://www.gfz-potsdam.de/en/section/geomagnetism/data-products-services/geomagnetic-kp-index</w:t>
      </w:r>
    </w:p>
    <w:p>
      <w:pPr>
        <w:pStyle w:val="BodyText"/>
      </w:pPr>
      <w:r>
        <w:t xml:space="preserve">[162] NOAA, Alerts, Watches and Warnings | NOAA / NWS Space Weather Prediction Center — swpc.noaa.gov. https://www.swpc.noaa.gov/products/alerts-watches-and-warnings, 2024. [Online] . Available: https://www.swpc.noaa.gov/products/alerts-watches-and-warnings</w:t>
      </w:r>
    </w:p>
    <w:p>
      <w:pPr>
        <w:pStyle w:val="BodyText"/>
      </w:pPr>
      <w:r>
        <w:t xml:space="preserve">[163] L. M. M. Myint, K. Hozumi, S. Saito, and P. Supnithi,</w:t>
      </w:r>
      <w:r>
        <w:t xml:space="preserve"> </w:t>
      </w:r>
      <w:r>
        <w:t xml:space="preserve">“Analysis of local geomagnetic index under the influence of equatorial electrojet (EEJ) at the equatorial Phuket geomagnetic station in Thailand,”</w:t>
      </w:r>
      <w:r>
        <w:t xml:space="preserve"> </w:t>
      </w:r>
      <w:r>
        <w:t xml:space="preserve">Advances in Space Research, vol. 70, no. 5, pp. 1429–1440, 2022, doi: https://doi.org/10.1016/j.asr.2022.06.024.</w:t>
      </w:r>
    </w:p>
    <w:p>
      <w:pPr>
        <w:pStyle w:val="BodyText"/>
      </w:pPr>
      <w:r>
        <w:t xml:space="preserve">[164] NOAA, Planetary K-index | NOAA / NWS Space Weather Prediction Center — swpc.noaa.gov. https://www.swpc.noaa.gov/products/planetary-k-index, 2024. [Online] . Available: https://www.swpc.noaa.gov/products/planetary-k-index</w:t>
      </w:r>
    </w:p>
    <w:p>
      <w:pPr>
        <w:pStyle w:val="BodyText"/>
      </w:pPr>
      <w:r>
        <w:t xml:space="preserve">[165] NOAA, NOAA Space Weather Scales | NOAA / NWS Space Weather Prediction Center — swpc.noaa.gov. https://www.swpc.noaa.gov/noaa-scales-explanation, 2024. [Online] . Available: https://www.swpc.noaa.gov/noaa-scales-explanation</w:t>
      </w:r>
    </w:p>
    <w:p>
      <w:pPr>
        <w:pStyle w:val="BodyText"/>
      </w:pPr>
      <w:r>
        <w:t xml:space="preserve">[166] NOAA, swpc.noaa.gov. https://www.swpc.noaa.gov/sites/default/files/images/NOAAscales.pdf, 2024. [Online] . Available: https://www.swpc.noaa.gov/sites/default/files/images/NOAAscales.pdf</w:t>
      </w:r>
    </w:p>
    <w:p>
      <w:pPr>
        <w:pStyle w:val="BodyText"/>
      </w:pPr>
      <w:r>
        <w:t xml:space="preserve">[167] J. Matzka, O. Bronkalla, K. Tornow, K. Elger, and C. Stolle, Geomagnetic Kp index. GFZ Data Services, 2021. doi: https://doi.org/10.1016/j.asr.2022.06.024.</w:t>
      </w:r>
    </w:p>
    <w:p>
      <w:pPr>
        <w:pStyle w:val="BodyText"/>
      </w:pPr>
      <w:r>
        <w:t xml:space="preserve">[168] J. Matzka, C. Stolle, Y. Yamazaki, O. Bronkalla, and A. Morschhauser, The geomagnetic KP index and derived indices of geomagnetic activity, vol. 19. American Geophysical Union (AGU), 2021. doi: https://doi.org/10.1029/2020SW002641.</w:t>
      </w:r>
    </w:p>
    <w:p>
      <w:pPr>
        <w:pStyle w:val="BodyText"/>
      </w:pPr>
      <w:r>
        <w:t xml:space="preserve">[169] NOAA, Geomagnetic kp and ap Indices | NCEI — ngdc.noaa.gov. https://www.ngdc.noaa.gov/stp/GEOMAG/kp_ap.html, 2024. [Online] . Available: https://www.ngdc.noaa.gov/stp/GEOMAG/kp_ap.html</w:t>
      </w:r>
    </w:p>
    <w:p>
      <w:pPr>
        <w:pStyle w:val="BodyText"/>
      </w:pPr>
      <w:r>
        <w:t xml:space="preserve">[170] G. Prölss, Physics of the Earth’s space environment: an introduction. Berlin/Heidelberg, Germany: Springer Science &amp; Business Media, 2012.</w:t>
      </w:r>
    </w:p>
    <w:p>
      <w:pPr>
        <w:pStyle w:val="BodyText"/>
      </w:pPr>
      <w:r>
        <w:t xml:space="preserve">[171] J. Y. Liu et al.,</w:t>
      </w:r>
      <w:r>
        <w:t xml:space="preserve"> </w:t>
      </w:r>
      <w:r>
        <w:t xml:space="preserve">“Seismoionospheric GPS total electron content anomalies observed before the 12 May 2008 Mw7. 9 Wenchuan earthquake,”</w:t>
      </w:r>
      <w:r>
        <w:t xml:space="preserve"> </w:t>
      </w:r>
      <w:r>
        <w:t xml:space="preserve">Journal of Geophysical Research: Space Physics, vol. 114, no. A4, 2009.</w:t>
      </w:r>
    </w:p>
    <w:p>
      <w:pPr>
        <w:pStyle w:val="BodyText"/>
      </w:pPr>
      <w:r>
        <w:t xml:space="preserve">[172] M. Durmaz and M. O. Karslioglu,</w:t>
      </w:r>
      <w:r>
        <w:t xml:space="preserve"> </w:t>
      </w:r>
      <w:r>
        <w:t xml:space="preserve">“Regional vertical total electron content (VTEC) modeling together with satellite and receiver differential code biases (DCBs) using semi-parametric multivariate adaptive regression B-splines (SP-BMARS),”</w:t>
      </w:r>
      <w:r>
        <w:t xml:space="preserve"> </w:t>
      </w:r>
      <w:r>
        <w:t xml:space="preserve">Journal of Geodesy, vol. 89, pp. 347–360, 2015.</w:t>
      </w:r>
    </w:p>
    <w:p>
      <w:pPr>
        <w:pStyle w:val="BodyText"/>
      </w:pPr>
      <w:r>
        <w:t xml:space="preserve">[173] R. Jin, S. Jin, and G. Feng,</w:t>
      </w:r>
      <w:r>
        <w:t xml:space="preserve"> </w:t>
      </w:r>
      <w:r>
        <w:t xml:space="preserve">“M_DCB: Matlab code for estimating GNSS satellite and receiver differential code biases,”</w:t>
      </w:r>
      <w:r>
        <w:t xml:space="preserve"> </w:t>
      </w:r>
      <w:r>
        <w:t xml:space="preserve">GPS solutions, vol. 16, no. 4, pp. 541–548, 2012.</w:t>
      </w:r>
    </w:p>
    <w:p>
      <w:pPr>
        <w:pStyle w:val="BodyText"/>
      </w:pPr>
      <w:r>
        <w:t xml:space="preserve">[174] S. Schaer, Mapping and predicting the Earth’s ionosphere using the Global Positioning System, vol. 59. Zürich: Institut für Geodäsie und Photogrammetrie, Eidg. Technische Hochschule, 1999.</w:t>
      </w:r>
    </w:p>
    <w:p>
      <w:pPr>
        <w:pStyle w:val="BodyText"/>
      </w:pPr>
      <w:r>
        <w:t xml:space="preserve">[175]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[176]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[177] R. Pradipta, C. E. Valladares, and P. H. Doherty,</w:t>
      </w:r>
      <w:r>
        <w:t xml:space="preserve"> </w:t>
      </w:r>
      <w:r>
        <w:t xml:space="preserve">“An effective TEC data detrending method for the study of equatorial plasma bubbles and traveling ionospheric disturbances,”</w:t>
      </w:r>
      <w:r>
        <w:t xml:space="preserve"> </w:t>
      </w:r>
      <w:r>
        <w:t xml:space="preserve">Journal of Geophysical Research: Space Physics, vol. 120, no. 12, pp. 11–048, 2015.</w:t>
      </w:r>
    </w:p>
    <w:p>
      <w:pPr>
        <w:pStyle w:val="BodyText"/>
      </w:pPr>
      <w:r>
        <w:t xml:space="preserve">[178] R. Pradipta and P. H. Doherty,</w:t>
      </w:r>
      <w:r>
        <w:t xml:space="preserve"> </w:t>
      </w:r>
      <w:r>
        <w:t xml:space="preserve">“Comparison between 2-D GPS dTEC Data Maps and Digisonde Observations over the South American and Atlantic Regions,”</w:t>
      </w:r>
      <w:r>
        <w:t xml:space="preserve"> </w:t>
      </w:r>
      <w:r>
        <w:t xml:space="preserve">in 2019 URSI Asia-Pacific Radio Science Conference (AP-RASC), 2019, pp. 1–1.</w:t>
      </w:r>
    </w:p>
    <w:p>
      <w:pPr>
        <w:pStyle w:val="BodyText"/>
      </w:pPr>
      <w:r>
        <w:t xml:space="preserve">[179] C. A. Loewe and G. W. Prölss,</w:t>
      </w:r>
      <w:r>
        <w:t xml:space="preserve"> </w:t>
      </w:r>
      <w:r>
        <w:t xml:space="preserve">“Classification and mean behavior of magnetic storms,”</w:t>
      </w:r>
      <w:r>
        <w:t xml:space="preserve"> </w:t>
      </w:r>
      <w:r>
        <w:t xml:space="preserve">Journal of Geophysical Research: Space Physics, vol. 102, no. A7, pp. 14209–14213, 1997.</w:t>
      </w:r>
    </w:p>
    <w:p>
      <w:pPr>
        <w:pStyle w:val="BodyText"/>
      </w:pPr>
      <w:r>
        <w:t xml:space="preserve">[180] Y. Kamide et al.,</w:t>
      </w:r>
      <w:r>
        <w:t xml:space="preserve"> </w:t>
      </w:r>
      <w:r>
        <w:t xml:space="preserve">“Two-step development of geomagnetic storms,”</w:t>
      </w:r>
      <w:r>
        <w:t xml:space="preserve"> </w:t>
      </w:r>
      <w:r>
        <w:t xml:space="preserve">Journal of Geophysical Research: Space Physics, vol. 103, no. A4, pp. 6917–6921, 1998.</w:t>
      </w:r>
    </w:p>
    <w:p>
      <w:pPr>
        <w:pStyle w:val="BodyText"/>
      </w:pPr>
      <w:r>
        <w:t xml:space="preserve">[181] A. Rozhnoi, M. S. Solovieva, O. A. Molchanov, and M. Hayakawa,</w:t>
      </w:r>
      <w:r>
        <w:t xml:space="preserve"> </w:t>
      </w:r>
      <w:r>
        <w:t xml:space="preserve">“Middle latitude LF (40 kHz) phase variations associated with earthquakes for quiet and disturbed geomagnetic conditions,”</w:t>
      </w:r>
      <w:r>
        <w:t xml:space="preserve"> </w:t>
      </w:r>
      <w:r>
        <w:t xml:space="preserve">Physics and Chemistry of the Earth, Parts A/B/C, vol. 29, no. 4–9, pp. 589–598, 2004.</w:t>
      </w:r>
    </w:p>
    <w:p>
      <w:pPr>
        <w:pStyle w:val="BodyText"/>
      </w:pPr>
      <w:r>
        <w:t xml:space="preserve">[182] M. E. Contadakis, D. N. Arabelos, C. Pikridas, and S. D. Spatalas,</w:t>
      </w:r>
      <w:r>
        <w:t xml:space="preserve"> </w:t>
      </w:r>
      <w:r>
        <w:t xml:space="preserve">“Total electron content variations over southern Europe before and during the M 6.3 Abruzzo earthquake of April 6, 2009,”</w:t>
      </w:r>
      <w:r>
        <w:t xml:space="preserve"> </w:t>
      </w:r>
      <w:r>
        <w:t xml:space="preserve">Annals of geophysics, vol. 55, no. 1, 2012.</w:t>
      </w:r>
    </w:p>
    <w:p>
      <w:pPr>
        <w:pStyle w:val="BodyText"/>
      </w:pPr>
      <w:r>
        <w:t xml:space="preserve">[183]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[184]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[185]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[186] M. Kuhn, 4 Data Splitting | The caret Package — topepo.github.io. https://topepo.github.io/caret/data-splitting.html, 2024. [Online] . Available: https://topepo.github.io/caret/data-splitting.html</w:t>
      </w:r>
    </w:p>
    <w:p>
      <w:pPr>
        <w:pStyle w:val="BodyText"/>
      </w:pPr>
      <w:r>
        <w:t xml:space="preserve">[187] R. J. Hyndman, Forecasting: principles and practice. Melbourne, Australia: OTexts, 2018.</w:t>
      </w:r>
    </w:p>
    <w:p>
      <w:pPr>
        <w:pStyle w:val="BodyText"/>
      </w:pPr>
      <w:r>
        <w:t xml:space="preserve">[188]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[189]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[190]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[191]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[192]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[193]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[194]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[195]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[196] W. J. Conover, Practical nonparametric statistics. Hoboken, New Jersey, U.S.: John Wiley &amp; Sons, Inc, 1999.</w:t>
      </w:r>
    </w:p>
    <w:p>
      <w:pPr>
        <w:pStyle w:val="BodyText"/>
      </w:pPr>
      <w:r>
        <w:t xml:space="preserve">[197] M. Hollander, Nonparametric statistical methods. Hoboken, New Jersey, U.S.: John Wiley &amp; Sons Inc, 2013.</w:t>
      </w:r>
    </w:p>
    <w:p>
      <w:pPr>
        <w:pStyle w:val="BodyText"/>
      </w:pPr>
      <w:r>
        <w:t xml:space="preserve">[198] D. C. Howell, Statistical methods for psychology, Seventh Edition. Belmont, California: Cengage Wadsworth, 2009.</w:t>
      </w:r>
    </w:p>
    <w:p>
      <w:pPr>
        <w:pStyle w:val="BodyText"/>
      </w:pPr>
      <w:r>
        <w:t xml:space="preserve">[199]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[200] M. L. McHugh,</w:t>
      </w:r>
      <w:r>
        <w:t xml:space="preserve"> </w:t>
      </w:r>
      <w:r>
        <w:t xml:space="preserve">“Interrater reliability: the kappa statistic,”</w:t>
      </w:r>
      <w:r>
        <w:t xml:space="preserve"> </w:t>
      </w:r>
      <w:r>
        <w:t xml:space="preserve">Biochemia medica, vol. 22, no. 3, pp. 276–282, 2012.</w:t>
      </w:r>
    </w:p>
    <w:p>
      <w:pPr>
        <w:pStyle w:val="BodyText"/>
      </w:pPr>
      <w:r>
        <w:t xml:space="preserve">[201]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[202] F. Galton, Finger prints. New York, NY: Cosimo Classics, 1892.</w:t>
      </w:r>
    </w:p>
    <w:p>
      <w:pPr>
        <w:pStyle w:val="BodyText"/>
      </w:pPr>
      <w:r>
        <w:t xml:space="preserve">[203] N. C. Smeeton,</w:t>
      </w:r>
      <w:r>
        <w:t xml:space="preserve"> </w:t>
      </w:r>
      <w:r>
        <w:t xml:space="preserve">“Early history of the kappa statistic,”</w:t>
      </w:r>
      <w:r>
        <w:t xml:space="preserve"> </w:t>
      </w:r>
      <w:r>
        <w:t xml:space="preserve">Biometrics, vol. 41, p. 795, 1985.</w:t>
      </w:r>
    </w:p>
    <w:p>
      <w:pPr>
        <w:pStyle w:val="BodyText"/>
      </w:pPr>
      <w:r>
        <w:t xml:space="preserve">[204]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[205]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[206]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[207]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[208] T. P. S. of W. D.C., Bulletin of the Philosophical Society of Washington, D.C., vol. 10. Washington, D.C., USA: The co-operation of the Smithsonian Institution, 1887, p. 83.</w:t>
      </w:r>
    </w:p>
    <w:p>
      <w:pPr>
        <w:pStyle w:val="BodyText"/>
      </w:pPr>
      <w:r>
        <w:t xml:space="preserve">[209] R. system.time developers, system.time function - RDocumentation — rdocumentation.org. https://www.rdocumentation.org/packages/base/versions/3.6.2/topics/system.time, 2024. [Online] . Available: https://www.rdocumentation.org/packages/base/versions/3.6.2/topics/system.time</w:t>
      </w:r>
    </w:p>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2024-10-17T17:08:52Z</dcterms:created>
  <dcterms:modified xsi:type="dcterms:W3CDTF">2024-10-17T17:08:52Z</dcterms:modified>
</cp:coreProperties>
</file>

<file path=docProps/custom.xml><?xml version="1.0" encoding="utf-8"?>
<Properties xmlns="http://schemas.openxmlformats.org/officeDocument/2006/custom-properties" xmlns:vt="http://schemas.openxmlformats.org/officeDocument/2006/docPropsVTypes"/>
</file>