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citestuff(spilker1996global). Maintaining the GNSS PNT quality is crucial for the sustainable development of modern economy and society citestuff(schaer1999mapping). Overcoming the shortcomings and vulnerabilities of GNSS PNT is a scientific challenge, and the need of a wide variety of scientists, developers, operators, regulators, and users of GNSS-based systems and services citestuff(durmaz2015regional, jin2012m_dcb).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citestuff(davies1990ionospheric, liu2009seismoionospheric). This phenomenon especially affects most currently used GNSS receivers, which work as single-frequency receivers exposed to GNSS ionospheric effects citestuff(spilker1996global, prolss2012physics).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prolss2012physics). The GNSS ionospheric delay causes errors in GNSS PNT algorithm deployment, designed to produce position, velocity, and time estimates for a GNSS receiver citestuff(spilker1996global, schaer1999mapping). The ionosphere affects GNSS satellite signals for position estimation by introducing signal propagation delay citestuff(spilker1996global, schaer1999mapping). The GNSS ionospheric delay is a stochastic variable, whose value is determined by complex physical processes of space weather citestuff(spilker1996global, schaer1999mapping).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citestuff(schaer1999mapping, prolss2012physics).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citestuff(spilker1996global, schaer1999mapping,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citestuff(SEEMALA202363).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citestuff(spilker1996global).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schaer1999mapping).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citestuff(spilker1996global).</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klobuchar1987ionospheric). The standard ionospheric correction models are global, and insufficiently flexible to update to mitigate GNSS ionospheric delay to satisfy rising demands on GNSS PNT performance citestuff(spilker1996global, enge1994global).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citestuff(filjar2024ambient).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citestuff(natras2022ensemble, natras2023regional).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citestuff(Intermagnet2022-cj)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citestuff(SEEMALA202363). The INTERMAGNET citestuff(Intermagnet2022-cj)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citestuff(Kuhn2007, kuhn2008building, kuhn2013applied).</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citestuff(Boser1992). Intuitively, a good separation is achieved by the hyperplane with the greatest distance to the nearest point in the training data belonging to any class citestuff(HastieRosset2009). Meyer, Leisch, and Hornik compared SVM models with other classifiers citestuff(Meyer2003).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citestuff(Wu2008). A tree is recursively partitioned by dividing the original set, or root node, into subsets that form descendants, or successors, using classification rules based on features citestuff(ShalevShwartz2014).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citestuff(Hand2001) classifiers are a family of linear "probabilistic classifiers" that assume that, given a target class, the features are conditionally independent. Maximum likelihood training for Naive Bayes (NB) models evaluates a closed-form expression citestuff(Russell1999) in linear time instead of using iterative approximation. However, a comprehensive comparison in 2006 showed that Naive Bayes (NB) models performed worse than boosted trees or Random Forest (RF) models citestuff(Caruana2006). An advantage of NB over other models is a smaller amount of required training data citestuff(John2013).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citestuff(Murty2011),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citestuff(brahme2014comprehensive). Shallow NN models typically contain only a few hidden layers for processing between the input layer that receives the data and the final layer that produces the output citestuff(olden2002illuminating). A network with at least two hidden layers citestuff(bishop2006pattern) is a deep NN model. Gradient-based methods such as backpropagation estimate ANN parameters citestuff(vapnik2013nature) to minimize the difference or empirical risk between the output and target labels, expressed in a loss function citestuff(goodfellow2016deep). The hyperparameters may also be modified to suit the problem citestuff(probst2019tunability) during an extensive tuning process, like the one used in this study. Principal Component Analysis (PCA) citestuff(stewart2019introduction) is a linear dimensionality reduction technique in exploratory data analysis, visualization citestuff(jolliffe2016principal),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citestuff(Kuhn2007, kuhn2008building, kuhn2013applied).</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citestuff(abdi2010partial),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citestuff(GONZALEZ2023104876).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citestuff(mclachlan2005discriminant) based on a mixture of non-parametric linear regression models, such as Multivariate Adaptive Regression Splines (MARS) and Linear Discriminant Analysis (LDA). Many predictors can be used in conjunction in FDA citestuff(HastieTibshirani2009). FDA is complex but execution time and computational load are adequate citestuff(reynes2006choice). Feature normality and equal group covariances are assumed citestuff(wetcher2011analyzing). LDA, Normal Discriminant Analysis (NDA), or discriminant function analysis citestuff(cohen2013applied) is a generalization of Fisher’s linear discriminant defined in 1936 citestuff(mclachlan2005discriminant).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citestuff(zolesi2014ionospheric). Geomagnetic storms cause signal deterioration by affecting Global Electric Current (GEC) variability. The ionosphere may show changes related to location, geomagnetic and solar activity, sunspots, local time, seasonality, thunderstorms citestuff(vellinov1992ionospheric), nuclear experiments, earthquakes citestuff(liu20142013),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citestuff(schwenn2001solar).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citestuff(Bojinov2014),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citestuff(Myint2022).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citestuff(Matzka2021a) and a scientific publication citestuff(Matzka2021b)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citestuff(zolesi2014ionospheric).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citestuff(loewe1997classification)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citestuff(gonzalez1994geomagnetic) used</w:t>
      </w:r>
      <w:r>
        <w:t xml:space="preserve"> </w:t>
      </w:r>
      <m:oMath>
        <m:r>
          <m:t>3</m:t>
        </m:r>
      </m:oMath>
      <w:r>
        <w:t xml:space="preserve"> </w:t>
      </w:r>
      <w:r>
        <w:t xml:space="preserve">groups for the same data in 1994, similar to Kamide et al. in 1998 citestuff(kamide1998two), Rozhnoi et al. in 2004 citestuff(rozhnoi2004middle), and Contadakis et al. in 2012 citestuff(contadakis2012total).</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citestuff(Kuhn2007, kuhn2008building).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citestuff(loewe1997classification).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citestuff(Fan2008). There are many ways to standardize data, such as minimum-maximum, normalization by decimal scaling, and Z-score citestuff(Mohamad2013). Subtracting the mean and dividing by the variance for each feature are commonly used for SVM models citestuff(Fennell2019)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citestuff(Kuhn2007, kuhn2008building)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citestuff(fagerland2017statistical), and Chow et al. citestuff(chow2018sample).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citestuff(edwards1948note)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higher</w:t>
      </w:r>
      <w:r>
        <w:t xml:space="preserve"> </w:t>
      </w:r>
      <m:oMath>
        <m:r>
          <m:t>p</m:t>
        </m:r>
      </m:oMath>
      <w:r>
        <w:t xml:space="preserve">-value indicates that the marginal probabilities for classification outcomes are unequal for a pair of candidate models, and the null hypothesis can be rejected. A lower</w:t>
      </w:r>
      <w:r>
        <w:t xml:space="preserve"> </w:t>
      </w:r>
      <m:oMath>
        <m:r>
          <m:t>p</m:t>
        </m:r>
      </m:oMath>
      <w:r>
        <w:t xml:space="preserve">-value indicates that the marginal probabilities for classification outcomes are the same for a pair of candidate models, and the null hypothesis cannot be rejected.</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marginal probabilities for each outcome are different when comparing the candidate model using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to the models using the same method, and the full set of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or</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w:t>
      </w:r>
    </w:p>
    <w:p>
      <w:pPr>
        <w:pStyle w:val="BodyText"/>
      </w:pPr>
      <w:r>
        <w:t xml:space="preserve">This was concluded by rejecting the null hypothesis using</w:t>
      </w:r>
      <w:r>
        <w:t xml:space="preserve"> </w:t>
      </w:r>
      <m:oMath>
        <m:r>
          <m:t>p</m:t>
        </m:r>
      </m:oMath>
      <w:r>
        <w:t xml:space="preserve">-values of McNemar’s test that equal</w:t>
      </w:r>
      <w:r>
        <w:t xml:space="preserve"> </w:t>
      </w:r>
      <m:oMath>
        <m:r>
          <m:t>1</m:t>
        </m:r>
      </m:oMath>
      <w:r>
        <w:t xml:space="preserve">, as given in Figure </w:t>
      </w:r>
      <w:hyperlink w:anchor="fig:pvalueplot">
        <w:r>
          <w:rPr>
            <w:rStyle w:val="Hyperlink"/>
          </w:rPr>
          <w:t xml:space="preserve">4</w:t>
        </w:r>
      </w:hyperlink>
      <w:r>
        <w:t xml:space="preserve">. The</w:t>
      </w:r>
      <w:r>
        <w:t xml:space="preserve"> </w:t>
      </w:r>
      <m:oMath>
        <m:r>
          <m:t>p</m:t>
        </m:r>
      </m:oMath>
      <w:r>
        <w:t xml:space="preserve">-values support the conclusion based on accuracy values, which are highest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This adds validity to removing</w:t>
      </w:r>
      <w:r>
        <w:t xml:space="preserve"> </w:t>
      </w:r>
      <m:oMath>
        <m:r>
          <m:t>T</m:t>
        </m:r>
        <m:r>
          <m:t>E</m:t>
        </m:r>
        <m:r>
          <m:t>C</m:t>
        </m:r>
      </m:oMath>
      <w:r>
        <w:t xml:space="preserve">, and</w:t>
      </w:r>
      <w:r>
        <w:t xml:space="preserve"> </w:t>
      </w:r>
      <m:oMath>
        <m:r>
          <m:t>d</m:t>
        </m:r>
        <m:r>
          <m:t>T</m:t>
        </m:r>
        <m:r>
          <m:t>E</m:t>
        </m:r>
        <m:r>
          <m:t>C</m:t>
        </m:r>
      </m:oMath>
      <w:r>
        <w:t xml:space="preserve"> </w:t>
      </w:r>
      <w:r>
        <w:t xml:space="preserve">from the set of predictors.</w:t>
      </w:r>
    </w:p>
    <w:p>
      <w:pPr>
        <w:pStyle w:val="BodyText"/>
      </w:pPr>
      <w:r>
        <w:t xml:space="preserve">The marginal probabilities for each outcome are different when comparing the candidate model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and the NB method, to the models using the same set of predictors, and the SVM method with a Polynomial Kernel, or the FDA method. The</w:t>
      </w:r>
      <w:r>
        <w:t xml:space="preserve"> </w:t>
      </w:r>
      <m:oMath>
        <m:r>
          <m:t>p</m:t>
        </m:r>
      </m:oMath>
      <w:r>
        <w:t xml:space="preserve">-values of McNemar’s test that equal</w:t>
      </w:r>
      <w:r>
        <w:t xml:space="preserve"> </w:t>
      </w:r>
      <m:oMath>
        <m:r>
          <m:t>1</m:t>
        </m:r>
      </m:oMath>
      <w:r>
        <w:t xml:space="preserve">, as shown in Figure </w:t>
      </w:r>
      <w:hyperlink w:anchor="fig:pvalueplot">
        <w:r>
          <w:rPr>
            <w:rStyle w:val="Hyperlink"/>
          </w:rPr>
          <w:t xml:space="preserve">4</w:t>
        </w:r>
      </w:hyperlink>
      <w:r>
        <w:t xml:space="preserve">, add validity to accuracy comparison results, which indicate a lower accuracy when using a method other than NB and predictors other than</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citestuff(Zhang2004). The expression used for the NB method is a linear time algorithm if time complexity is expressed as a function of the size of the input and observing asymptotic behavior, explaining the reduced execution time citestuff(Russell1999). Despite their simplicity, NB classifier models have performed well in real-world situations citestuff(Metsis2006), even with a relative lack of data compared to other approaches citestuff(John2013, Mccallum2001).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2024-11-25T07:22:34Z</dcterms:created>
  <dcterms:modified xsi:type="dcterms:W3CDTF">2024-11-25T07:22:34Z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