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8.pdf" ContentType="application/pdf"/>
  <Override PartName="/word/media/rId64.pdf" ContentType="application/pdf"/>
  <Override PartName="/word/media/rId44.pdf" ContentType="application/pdf"/>
  <Override PartName="/word/media/rId48.pdf" ContentType="application/pdf"/>
  <Override PartName="/word/media/rId60.pdf" ContentType="application/pdf"/>
  <Override PartName="/word/media/rId52.pdf" ContentType="application/pdf"/>
  <Override PartName="/word/media/rId56.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m:oMath>
        <m:r>
          <m:t>D</m:t>
        </m:r>
        <m:r>
          <m:t>s</m:t>
        </m:r>
        <m:r>
          <m:t>t</m:t>
        </m:r>
      </m:oMath>
      <w:r>
        <w:t xml:space="preserve">-based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 citestuff(filjar2022application). Maintaining the GNSS PNT quality has appeared fundamental for the sustainable development of modern economy and society citestuff(filjar2022application).</w:t>
      </w:r>
    </w:p>
    <w:p>
      <w:pPr>
        <w:pStyle w:val="BodyText"/>
      </w:pPr>
      <w:r>
        <w:t xml:space="preserve">Overcoming the shortcomings and vulnerabilities of GNSS PNT is a scientific challenge, and the need of a wide variety of scientists, developers, operators, regulators, and users of GNSS-based systems and services citestuff(filjar2024ambient, filjar2022application).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 citestuff(davies1990ionospheric, filic2018modelling).</w:t>
      </w:r>
    </w:p>
    <w:p>
      <w:pPr>
        <w:pStyle w:val="BodyText"/>
      </w:pPr>
      <w:r>
        <w:t xml:space="preserve">This phenomenon especially affects most currently used GNSS receivers, which work as single-frequency receivers exposed to GNSS ionospheric effects citestuff(spilker1996global, filjar2022application). Driven by powerful and random flows of energy and particles from the Sun (space weather conditions), the ionospheric conditions define the properties of GNSS signal propagation through the Earth’s atmosphere and the resulting ionospheric delay citestuff(davies1990ionospheric, oxley2017uncertainties, filic2018modelling). The GNSS ionospheric delay causes errors in GNSS PNT algorithm deployment, designed to produce position, velocity, and time estimates for a GNSS receiver citestuff(spilker1996global, filic2018modelling).</w:t>
      </w:r>
    </w:p>
    <w:p>
      <w:pPr>
        <w:pStyle w:val="BodyText"/>
      </w:pPr>
      <w:r>
        <w:t xml:space="preserve">The ionosphere affects GNSS satellite signals for position estimation by introducing signal propagation delay citestuff(spilker1996global, filic2018modelling). The GNSS ionospheric delay is a stochastic variable, whose value is determined by complex physical processes of space weather citestuff(filic2018modelling, filjar2022application).</w:t>
      </w:r>
    </w:p>
    <w:p>
      <w:pPr>
        <w:pStyle w:val="BodyText"/>
      </w:pPr>
      <w:r>
        <w:t xml:space="preserve">How space weather affects GNSS PNT performance was explained using the Space weather – GNSS PNT performance coupling model citestuff(filic2018modelling),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 citestuff(filic2018modelling).</w:t>
      </w:r>
    </w:p>
    <w:tbl>
      <w:tblPr>
        <w:tblStyle w:val="Table"/>
        <w:tblW w:type="auto" w:w="0"/>
        <w:tblLook w:firstRow="0" w:lastRow="0" w:firstColumn="0" w:lastColumn="0" w:noHBand="0" w:noVBand="0" w:val="0000"/>
        <w:tblCaption w:val="The Space weather – GNSS PNT performance coupling model, after citestuff(filic2018modelling)."/>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 citestuff(filic2018modelling, filic2018modelling).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citestuff(filic2018modelling, davies1990ionospheric),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It should be noted that in the sense of Equation 1,</w:t>
      </w:r>
      <w:r>
        <w:t xml:space="preserve"> </w:t>
      </w:r>
      <m:oMath>
        <m:r>
          <m:t>T</m:t>
        </m:r>
        <m:r>
          <m:t>E</m:t>
        </m:r>
        <m:r>
          <m:t>C</m:t>
        </m:r>
      </m:oMath>
      <w:r>
        <w:t xml:space="preserve"> </w:t>
      </w:r>
      <w:r>
        <w:t xml:space="preserve">is defined as a result, a consequence, of the ionospheric conditions, and not their descriptor citestuff(filjar2022application).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citestuff(spilker1996global, filic2018modelling).</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w:t>
      </w:r>
      <w:r>
        <w:t xml:space="preserve"> </w:t>
      </w:r>
      <m:oMath>
        <m:r>
          <m:t>T</m:t>
        </m:r>
        <m:r>
          <m:t>E</m:t>
        </m:r>
        <m:r>
          <m:t>C</m:t>
        </m:r>
      </m:oMath>
      <w:r>
        <w:t xml:space="preserve">, as given in Equation 3, a sub-model incorporated in the Space weather – GNSS PNT performance coupling model citestuff(filic2018modelling).</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 citestuff(spilker1996global, filic2018modelling). The standard ionospheric correction models are global, and insufficiently flexible to update to mitigate GNSS ionospheric delay to satisfy rising demands on GNSS PNT performance citestuff(filjar2024ambient, filic2018modelling). The development of regional and local models attempts to solve the problem of GNSS PNT sustainable performance in various ionospheric conditions citestuff(sikirica2021risk). In recent developments, our team has proposed the Ambient-Aware Application-Aligned ((AA)2) PNT to take into account the actual ionospheric and geomagnetic conditions near a mobile unit (a GNSS receiver) citestuff(filjar2022application, filic2018modelling, filjar2024ambient). Direct measurements of the immediate geomagnetic and ionospheric condition variables may be supplied to a machine learning-based adapted GNSS ionospheric correction model, thus solving the single-frequency GNSS problem citestuff(filjar2022application). Previous research has identified predictors and target variables (descriptors of geomagnetic, ionospheric, and GNSS PNT conditions) citestuff(filic2018modelling, natras2022ensemble, natras2023regional).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 citestuff(filjar2022application, filjar2024ambient).</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 citestuff(filjar2020comparison) 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w:t>
      </w:r>
      <w:r>
        <w:t xml:space="preserve"> </w:t>
      </w:r>
      <m:oMath>
        <m:r>
          <m:t>D</m:t>
        </m:r>
        <m:r>
          <m:t>s</m:t>
        </m:r>
        <m:r>
          <m:t>t</m:t>
        </m:r>
      </m:oMath>
      <w:r>
        <w:t xml:space="preserve">-based classes using theoretical knowledge and statistics</w:t>
      </w:r>
    </w:p>
    <w:p>
      <w:pPr>
        <w:numPr>
          <w:ilvl w:val="0"/>
          <w:numId w:val="1001"/>
        </w:numPr>
      </w:pPr>
      <w:r>
        <w:t xml:space="preserve">Classifying values of</w:t>
      </w:r>
      <w:r>
        <w:t xml:space="preserve"> </w:t>
      </w:r>
      <m:oMath>
        <m:r>
          <m:t>T</m:t>
        </m:r>
        <m:r>
          <m:t>E</m:t>
        </m:r>
        <m:r>
          <m:t>C</m:t>
        </m:r>
      </m:oMath>
      <w:r>
        <w:t xml:space="preserve"> </w:t>
      </w:r>
      <w:r>
        <w:t xml:space="preserve">and other geomagnetic field variables based on</w:t>
      </w:r>
      <w:r>
        <w:t xml:space="preserve"> </w:t>
      </w:r>
      <m:oMath>
        <m:r>
          <m:t>D</m:t>
        </m:r>
        <m:r>
          <m:t>s</m:t>
        </m:r>
        <m:r>
          <m:t>t</m:t>
        </m:r>
      </m:oMath>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82"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w:t>
      </w:r>
      <w:r>
        <w:t xml:space="preserve"> </w:t>
      </w:r>
      <m:oMath>
        <m:r>
          <m:t>T</m:t>
        </m:r>
        <m:r>
          <m:t>E</m:t>
        </m:r>
        <m:r>
          <m:t>C</m:t>
        </m:r>
      </m:oMath>
      <w:r>
        <w:t xml:space="preserve">, and other predictors, into one of the scenarios of space weather conditions based on</w:t>
      </w:r>
      <w:r>
        <w:t xml:space="preserve"> </w:t>
      </w:r>
      <m:oMath>
        <m:r>
          <m:t>D</m:t>
        </m:r>
        <m:r>
          <m:t>s</m:t>
        </m:r>
        <m:r>
          <m:t>t</m:t>
        </m:r>
      </m:oMath>
      <w:r>
        <w:t xml:space="preserve">. Multiple</w:t>
      </w:r>
      <w:r>
        <w:t xml:space="preserve"> </w:t>
      </w:r>
      <m:oMath>
        <m:r>
          <m:t>D</m:t>
        </m:r>
        <m:r>
          <m:t>s</m:t>
        </m:r>
        <m:r>
          <m:t>t</m:t>
        </m:r>
      </m:oMath>
      <w:r>
        <w:t xml:space="preserve">-dependent classes were predefined using theoretical knowledge. Statistical analysis of the data confirmed that distributions of other variables change for different</w:t>
      </w:r>
      <w:r>
        <w:t xml:space="preserve"> </w:t>
      </w:r>
      <m:oMath>
        <m:r>
          <m:t>D</m:t>
        </m:r>
        <m:r>
          <m:t>s</m:t>
        </m:r>
        <m:r>
          <m:t>t</m:t>
        </m:r>
      </m:oMath>
      <w:r>
        <w:t xml:space="preserve"> </w:t>
      </w:r>
      <w:r>
        <w:t xml:space="preserve">ranges, and not for different</w:t>
      </w:r>
      <w:r>
        <w:t xml:space="preserve"> </w:t>
      </w:r>
      <m:oMath>
        <m:r>
          <m:t>T</m:t>
        </m:r>
        <m:r>
          <m:t>E</m:t>
        </m:r>
        <m:r>
          <m:t>C</m:t>
        </m:r>
      </m:oMath>
      <w:r>
        <w:t xml:space="preserve"> </w:t>
      </w:r>
      <w:r>
        <w:t xml:space="preserve">ranges, supporting the validity of the classification. The study assumes that the dependent output variable, the</w:t>
      </w:r>
      <w:r>
        <w:t xml:space="preserve"> </w:t>
      </w:r>
      <m:oMath>
        <m:r>
          <m:t>D</m:t>
        </m:r>
        <m:r>
          <m:t>s</m:t>
        </m:r>
        <m:r>
          <m:t>t</m:t>
        </m:r>
      </m:oMath>
      <w:r>
        <w:t xml:space="preserve"> </w:t>
      </w:r>
      <w:r>
        <w:t xml:space="preserve">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 citestuff(kuhn2013applied, KuhnCaret2024, rprojectProjectStatistical).</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 citestuff(Boser1992),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 citestuff(Cortes1995). Support Vector Clustering (SVC) citestuff(BenHur2001) applies support vector statistics to unlabeled data in unsupervised learning to find new natural groupings. Meyer, Leisch, and Hornik compared SVM with other classifiers citestuff(Meyer2003),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 citestuff(scikit-learn2023). Intuitively, a good separation is achieved by the hyperplane with the greatest distance to the nearest point in the training data belonging to any class citestuff(HastieRosset2009).</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 citestuff(Boser1992, Aizerman1964). A multidimensional feature space increases the generalization error of SVM models, so additional samples are needed to enhance performance citestuff(Jin2012).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 citestuff(Press2007).</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 citestuff(Joachims1998). Some methods for shallow semantic parsing are based on SVM models citestuff(Pradhan2004). Image classification and segmentation can also be performed using SVM models, including a modified version of SVM that uses privileged access as proposed by Vapnik citestuff(Laurent2014, Barghout2015).</w:t>
      </w:r>
    </w:p>
    <w:p>
      <w:pPr>
        <w:pStyle w:val="BodyText"/>
      </w:pPr>
      <w:r>
        <w:t xml:space="preserve">Classification of satellite data such as Synthetic Aperture Radar (SAR) data is possible using a supervised SVM citestuff(Maity2016). Handwritten characters can be recognized using SVM models citestuff(Decoste2002, Maitra2015).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 citestuff(Gaonkar2013, Cuingnet2011). SVM weights were also used to interpret SVM models citestuff(Statnikov2006).</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 citestuff(Hsu2003).</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 citestuff(Studer2011). DT models are among the most popular ML algorithms due to their comprehensibility and simplicity citestuff(Wu2008). A DT describes the input data and the resulting classification tree can be the input for decision-making in data mining citestuff(Rokach2014).</w:t>
      </w:r>
    </w:p>
    <w:p>
      <w:pPr>
        <w:pStyle w:val="BodyText"/>
      </w:pPr>
      <w:r>
        <w:t xml:space="preserve">A tree is built by dividing the original set, which forms the root node, into subsets that form descendants, or successors. The segmentation is made using a set of rules based on classification features citestuff(ShalevShwartz2014).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 citestuff(Quinlan1986) is an example of a greedy algorithm and is by far the most common strategy for learning DT models from data citestuff(Rokach2005).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 citestuff(McCallum2011).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 citestuff(Russell1999),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 citestuff(Hand2001). These names refer to Bayes’ theorem in the classifier’s decision rule, but a NB classifier model is not necessarily a Bayesian method citestuff(Russell1999, Hand2001).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 citestuff(Zhang2004). However, a comprehensive comparison with other classification algorithms in 2006 showed that Bayesian classification performed worse than other approaches, such as boosted trees or random forests citestuff(Caruana2006). The advantage of NB models is a small amount of training data used to estimate the parameters needed for classification citestuff(stackexchange).</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 citestuff(Murty2011).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oMath>
      </m:oMathPara>
    </w:p>
    <w:p>
      <w:pPr>
        <w:pStyle w:val="FirstParagraph"/>
      </w:pPr>
      <w:r>
        <w:t xml:space="preserve">To estimate feature distribution parameters, we must assume a parametric distribution, or generate non-parametric models for the features from the training data set citestuff(John2013). Assumptions about the distribution of features are called an event model or Bayesian classifier, which can introduce confusion by creating both a continuous and discrete model citestuff(Mccallum2001, Metsis2006).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 citestuff(Hand2001).</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 citestuff(John2013), can significantly increase the accuracy of the classifier citestuff(Piryonesi2020, HastieRosset2009).</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 citestuff(mitExplainedNeural, brahme2014comprehensive).</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 citestuff(olden2002illuminating, ozesmi1999artificial). A network with at least two hidden layers citestuff(bishop2006pattern) 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 citestuff(vapnik2013nature). Gradient-based methods such as backpropagation are usually used to estimate network parameters citestuff(vapnik2013nature). During the training phase, ANN models learn from labeled training data by iteratively updating their parameters to minimize a defined loss function citestuff(goodfellow2016deep).</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 citestuff(probst2019tunability) 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 citestuff(zoph2016neural).</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citestuff(jin2019auto) 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 citestuff(claesen2015hyperparameter).</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 citestuff(liu2020python).</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 citestuff(wold2001pls, abdi2010partial),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 citestuff(saebo2008lpls).</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citestuff(youtubeYouTube),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oMath>
      </m:oMathPara>
    </w:p>
    <w:p>
      <w:pPr>
        <w:pStyle w:val="FirstParagraph"/>
      </w:pPr>
      <w:r>
        <w:t xml:space="preserve">The scores form an orthogonal basis in PLS regression, and the loadings are chosen to achieve this. In PCA orthogonality is not imposed on scores but onto loadings instead citestuff(lindgren1993kernel, de1994comments, dayal1997improved, de1993simpls, rannar1994pls, abdi2010partial). Many versions of PLS exist for estimating the factor and loading matrices, such as the PLS1 algorithm citestuff(takane2016pls, hoskuldsson1988pls).</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 citestuff(hastie1995penalized), such as Multivariate Adaptive Regression Splines (MARS) and Linear Discriminant Analysis (LDA).</w:t>
      </w:r>
    </w:p>
    <w:p>
      <w:pPr>
        <w:pStyle w:val="BodyText"/>
      </w:pPr>
      <w:r>
        <w:t xml:space="preserve">Many predictors can be used at once in FDA citestuff(HastieTibshirani2009), variable interactions are automatically noted citestuff(hastie1994flexible), it is complex but execution time and computational load are adequate citestuff(reynes2006choice). The algorithm is not significantly affected by outliers citestuff(phillips2017applying).</w:t>
      </w:r>
    </w:p>
    <w:p>
      <w:pPr>
        <w:pStyle w:val="BodyText"/>
      </w:pPr>
      <w:r>
        <w:t xml:space="preserve">Modifying different settings has a high impact on FDA citestuff(hallgren2019species), and the estimation might be unsuccessful if the predictor distributions are highly correlated. FDA is prone to overfitting citestuff(thuiller2016ensemble), and challenging to comprehend or explain citestuff(quillfeldt2017influence). The assumption of normality for the continuous independent variables is necessary citestuff(zhang2019using) to determine the response or grouping categorical variable.</w:t>
      </w:r>
    </w:p>
    <w:p>
      <w:pPr>
        <w:pStyle w:val="BodyText"/>
      </w:pPr>
      <w:r>
        <w:t xml:space="preserve">LDA, Normal Discriminant Analysis (NDA), or discriminant function analysis is a generalization of Fisher’s linear LDA defined in 1936 citestuff(cohen2013applied). The results of LDA may be utilized directly or to reduce dimensionality before classification, which is more often used citestuff(hansen2005using). LDA finds a linear combination of features or measurements differentiating two or more sample classes citestuff(fisher1936use, mclachlan2005discriminant). Discriminant analysis has continuous independent variables and a categorical dependent variable representing the groups citestuff(wetcher2011analyzing).</w:t>
      </w:r>
    </w:p>
    <w:p>
      <w:pPr>
        <w:pStyle w:val="BodyText"/>
      </w:pPr>
      <w:r>
        <w:t xml:space="preserve">LDA is closely related to PCA and factor analysis since they identify linear functions of multiple variables that fit the input with the smallest error citestuff(martinez2001pca). Discriminant correspondence analysis citestuff(abdi2007discriminant, perriere2003use) is equivalent to LDA for categorical independent variables. Points in discriminant function analysis are rated based on quantitative predictors and a group measure citestuff(cokluk2008discriminant) to represent classification citestuff(venables2013modern).</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 citestuff(cokluk2008discriminant). In every level of the grouping variable, independent variables must be normal to achieve multivariate normality citestuff(cokluk2008discriminant, hansen2005using). Box’s M statistic citestuff(hansen2005using) 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 citestuff(cokluk2008discriminant). The scores of one predictor variable should not depend on other predictor variables for any sample, and the samples should be chosen at random citestuff(cokluk2008discriminant, hansen2005using). Discriminant analysis can handle small deviations from these requirements citestuff(lachenbruch1979discriminant) and may be used even if multivariate normality is not achieved, such as for dichotomous variables citestuff(klecka1980discriminant).</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 citestuff(Hardle2003AppliedMS). A discriminant score describes how well a discriminant differentiates classes. citestuff(archive765Discriminant).</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 citestuff(cokluk2008discriminant). Eigenvalues do not have an upper limit citestuff(cokluk2008discriminant, hansen2005using), so the results should not be taken at face value.</w:t>
      </w:r>
    </w:p>
    <w:p>
      <w:pPr>
        <w:pStyle w:val="BodyText"/>
      </w:pPr>
      <w:r>
        <w:t xml:space="preserve">Even though it is not universally accepted, some suggest eigenvalues be utilized as effect size measures citestuff(hansen2005using). The percent of correctly classified data, such as the kappa value, can also be used as the effect size while accounting for random matches in classification citestuff(hansen2005using). Kappa is not biased for any particular class, whether performance is high or low, and instead normalizes across all classes citestuff(israel2006performance).</w:t>
      </w:r>
    </w:p>
    <w:p>
      <w:pPr>
        <w:pStyle w:val="BodyText"/>
      </w:pPr>
      <w:r>
        <w:t xml:space="preserve">Fisher’s linear discriminant and LDA are sometimes considered synonyms. However, Fisher citestuff(fisher1936use) describes a slightly different discriminant, which does not make some of the assumptions of LDA such as a normal distribution or the equality of groups covariances. The application of the Fisher discriminant is expanded to find a subspace capturing all class variability citestuff(archive765Discriminant) for multiple groups, as suggested by C. R. Rao citestuff(rao1948utilization).</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citestuff(ripley2007pattern).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 citestuff(jolliffe2016principal).</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 citestuff(barnett1987origins, hsu2012spectral, markopoulos2017efficient, chachlakis2019l1). CCA does the same for the cross-covariance between two datasets. Robust and L1-norm-based variants of standard PCA have also been proposed citestuff(chachlakis2019l1, markopoulos2014optimal, zhan2015robust, ke2005robust).</w:t>
      </w:r>
    </w:p>
    <w:p>
      <w:pPr>
        <w:pStyle w:val="BodyText"/>
      </w:pPr>
      <w:r>
        <w:t xml:space="preserve">Karl Pearson citestuff(pearson1901liii) conceived of PCA in 1901 as a counterpart of the principal axis theorem in mechanics citestuff(stewart2019introduction). Harold Hotelling discovered the Hotelling transform in multivariate quality control in the 1930s without knowledge of the previous work citestuff(hotelling1933analysis, hotelling1992relations). Synonyms for PCA include the discrete Proper Orthogonal Decomposition (POD) citestuff(berkooz1993proper, karhunen1946spektraltheorie, loeve1977elementary, sirovich1987turbulence) in mechanical engineering and the Kosambi–Karhunen–Loève or Karhunen–Loève Theorem (KLT) citestuff(sapatnekar2011overcoming, ghoman2012pod, archiveKarhunenLoeveTransform, giambartolomei2016, mallat1999wavelet, tang1998texture) 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 citestuff(stewart1993early),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 citestuff(gloub1996matrix, hayden2002observations). Factor analysis differs in several key features citestuff(jolliffe2002principal), but has many aspects in common with PCA. Empirical Orthogonal Functions (EOF) citestuff(lorenz1956empirical) in meteorological science were developed by Lorenz in 1956 citestuff(lorenz1956empirical). The Eckart–Young theorem citestuff(eckart1936approximation) and quasiharmonic modes citestuff(dove1993introduction) 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 citestuff(jolliffe2002principal, bengio2013representation). The significance of the principal components can be checked with parametric bootstrap for a smaller dataset to help decide how many principal components to keep citestuff(forkman2019hypothesis).</w:t>
      </w:r>
    </w:p>
    <w:bookmarkEnd w:id="28"/>
    <w:bookmarkEnd w:id="29"/>
    <w:bookmarkStart w:id="76" w:name="data-description-and-analysis"/>
    <w:p>
      <w:pPr>
        <w:pStyle w:val="Heading2"/>
      </w:pPr>
      <w:r>
        <w:t xml:space="preserve">Data Description and Analysis</w:t>
      </w:r>
    </w:p>
    <w:p>
      <w:pPr>
        <w:pStyle w:val="FirstParagraph"/>
      </w:pPr>
      <w:r>
        <w:t xml:space="preserve">The performance of GNSS is linked to many dynamic space weather conditions. Solar activity can citestuff(tobiska1996current) can induce various effects that degrade the accuracy, availability, and reliability of GNSS PNT.</w:t>
      </w:r>
    </w:p>
    <w:p>
      <w:pPr>
        <w:pStyle w:val="BodyText"/>
      </w:pPr>
      <w:r>
        <w:t xml:space="preserve">Disturbances caused by geomagnetic storms citestuff(vitinsky1986statistics) can also affect the high-frequency GPS signals citestuff(lanyi1988comparison) passing through the ionosphere layer citestuff(rishbeth1969introduction, ratcliffe1972introduction), motivating work on error modeling of the ionosphere citestuff(klobuchar1986design, zolesi2014ionospheric). Observed changes in the ionosphere layer include the density distribution in the ionosphere,</w:t>
      </w:r>
      <w:r>
        <w:t xml:space="preserve"> </w:t>
      </w:r>
      <m:oMath>
        <m:r>
          <m:t>T</m:t>
        </m:r>
        <m:r>
          <m:t>E</m:t>
        </m:r>
        <m:r>
          <m:t>C</m:t>
        </m:r>
      </m:oMath>
      <w:r>
        <w:t xml:space="preserve"> </w:t>
      </w:r>
      <w:r>
        <w:t xml:space="preserve">values, and the current balance in the ionosphere citestuff(komjathy2023global).</w:t>
      </w:r>
    </w:p>
    <w:p>
      <w:pPr>
        <w:pStyle w:val="BodyText"/>
      </w:pPr>
      <w:r>
        <w:t xml:space="preserve">Geomagnetic storms citestuff(NOAA2024aRadioCommunications) cause signal deterioration by affecting Global Electric Current (GEC) variability citestuff(Gray2019, Gray2021). The ionosphere citestuff(wild1994ionosphere) may show changes citestuff(hawarey2010uzay) related to geographical and geomagnetic location, geomagnetic and solar activity, the appearance of sunspots, local time citestuff(kotz2005encyclopedia), seasonality, thunderstorms citestuff(vellinov1992ionospheric), nuclear experiments on Earth, earthquakes citestuff(liu20142013), and other phenomena. These effects are characterized by geomagnetic storm</w:t>
      </w:r>
      <w:r>
        <w:t xml:space="preserve"> </w:t>
      </w:r>
      <m:oMath>
        <m:sSub>
          <m:e>
            <m:r>
              <m:t>K</m:t>
            </m:r>
          </m:e>
          <m:sub>
            <m:r>
              <m:t>p</m:t>
            </m:r>
          </m:sub>
        </m:sSub>
      </m:oMath>
      <w:r>
        <w:t xml:space="preserve">-indices and geomagnetic activity</w:t>
      </w:r>
      <w:r>
        <w:t xml:space="preserve"> </w:t>
      </w:r>
      <m:oMath>
        <m:r>
          <m:t>D</m:t>
        </m:r>
        <m:r>
          <m:t>s</m:t>
        </m:r>
        <m:r>
          <m:t>t</m:t>
        </m:r>
      </m:oMath>
      <w:r>
        <w:t xml:space="preserve">-indices, where active changes from space and Earth stations are measured and assessed.</w:t>
      </w:r>
    </w:p>
    <w:p>
      <w:pPr>
        <w:pStyle w:val="BodyText"/>
      </w:pPr>
      <w:r>
        <w:t xml:space="preserve">Many parameters citestuff(ulukavak2018analysis) can describe the Earth’s geomagnetic field. This study focuses on parameters describing disturbances of the Earth’s geomagnetic field, most importantly</w:t>
      </w:r>
      <w:r>
        <w:t xml:space="preserve"> </w:t>
      </w:r>
      <m:oMath>
        <m:sSub>
          <m:e>
            <m:r>
              <m:t>a</m:t>
            </m:r>
          </m:e>
          <m:sub>
            <m:r>
              <m:t>p</m:t>
            </m:r>
          </m:sub>
        </m:sSub>
      </m:oMath>
      <w:r>
        <w:t xml:space="preserve"> </w:t>
      </w:r>
      <w:r>
        <w:t xml:space="preserve">indices calculated from</w:t>
      </w:r>
      <w:r>
        <w:t xml:space="preserve"> </w:t>
      </w:r>
      <m:oMath>
        <m:sSub>
          <m:e>
            <m:r>
              <m:t>K</m:t>
            </m:r>
          </m:e>
          <m:sub>
            <m:r>
              <m:t>p</m:t>
            </m:r>
          </m:sub>
        </m:sSub>
      </m:oMath>
      <w:r>
        <w:t xml:space="preserve"> </w:t>
      </w:r>
      <w:r>
        <w:t xml:space="preserve">and</w:t>
      </w:r>
      <w:r>
        <w:t xml:space="preserve"> </w:t>
      </w:r>
      <m:oMath>
        <m:r>
          <m:t>K</m:t>
        </m:r>
      </m:oMath>
      <w:r>
        <w:t xml:space="preserve"> </w:t>
      </w:r>
      <w:r>
        <w:t xml:space="preserve">indices,</w:t>
      </w:r>
      <w:r>
        <w:t xml:space="preserve"> </w:t>
      </w:r>
      <m:oMath>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T</m:t>
            </m:r>
            <m:r>
              <m:t>E</m:t>
            </m:r>
            <m:r>
              <m:t>C</m:t>
            </m:r>
          </m:e>
        </m:d>
      </m:oMath>
      <w:r>
        <w:t xml:space="preserve">,</w:t>
      </w:r>
      <w:r>
        <w:t xml:space="preserve"> </w:t>
      </w:r>
      <m:oMath>
        <m:r>
          <m:t>d</m:t>
        </m:r>
        <m:r>
          <m:t>e</m:t>
        </m:r>
        <m:r>
          <m:t>t</m:t>
        </m:r>
        <m:r>
          <m:t>r</m:t>
        </m:r>
        <m:r>
          <m:t>e</m:t>
        </m:r>
        <m:r>
          <m:t>n</m:t>
        </m:r>
        <m:r>
          <m:t>d</m:t>
        </m:r>
        <m:r>
          <m:t>e</m:t>
        </m:r>
        <m:r>
          <m:t>d</m:t>
        </m:r>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d</m:t>
            </m:r>
            <m:r>
              <m:t>T</m:t>
            </m:r>
            <m:r>
              <m:t>E</m:t>
            </m:r>
            <m:r>
              <m:t>C</m:t>
            </m:r>
          </m:e>
        </m:d>
      </m:oMath>
      <w:r>
        <w:t xml:space="preserve">, and</w:t>
      </w:r>
      <w:r>
        <w:t xml:space="preserve"> </w:t>
      </w:r>
      <m:oMath>
        <m:r>
          <m:t>D</m:t>
        </m:r>
        <m:r>
          <m:t>i</m:t>
        </m:r>
        <m:r>
          <m:t>s</m:t>
        </m:r>
        <m:r>
          <m:t>t</m:t>
        </m:r>
        <m:r>
          <m:t>u</m:t>
        </m:r>
        <m:r>
          <m:t>r</m:t>
        </m:r>
        <m:r>
          <m:t>b</m:t>
        </m:r>
        <m:r>
          <m:t>a</m:t>
        </m:r>
        <m:r>
          <m:t>n</m:t>
        </m:r>
        <m:r>
          <m:t>c</m:t>
        </m:r>
        <m:r>
          <m:t>e</m:t>
        </m:r>
        <m:r>
          <m:t>S</m:t>
        </m:r>
        <m:r>
          <m:t>t</m:t>
        </m:r>
        <m:r>
          <m:t>o</m:t>
        </m:r>
        <m:r>
          <m:t>r</m:t>
        </m:r>
        <m:r>
          <m:t>m</m:t>
        </m:r>
        <m:r>
          <m:rPr>
            <m:sty m:val="p"/>
          </m:rPr>
          <m:t>−</m:t>
        </m:r>
        <m:r>
          <m:t>T</m:t>
        </m:r>
        <m:r>
          <m:t>i</m:t>
        </m:r>
        <m:r>
          <m:t>m</m:t>
        </m:r>
        <m:r>
          <m:t>e</m:t>
        </m:r>
        <m:d>
          <m:dPr>
            <m:begChr m:val="("/>
            <m:endChr m:val=")"/>
            <m:sepChr m:val=""/>
            <m:grow/>
          </m:dPr>
          <m:e>
            <m:r>
              <m:t>D</m:t>
            </m:r>
            <m:r>
              <m:t>s</m:t>
            </m:r>
            <m:r>
              <m:t>t</m:t>
            </m:r>
          </m:e>
        </m:d>
      </m:oMath>
      <w:r>
        <w:t xml:space="preserve">.</w:t>
      </w:r>
    </w:p>
    <w:p>
      <w:pPr>
        <w:pStyle w:val="BodyText"/>
      </w:pPr>
      <w:r>
        <w:t xml:space="preserve">Incorporating parameters such as the</w:t>
      </w:r>
      <w:r>
        <w:t xml:space="preserve"> </w:t>
      </w:r>
      <m:oMath>
        <m:sSub>
          <m:e>
            <m:r>
              <m:t>K</m:t>
            </m:r>
          </m:e>
          <m:sub>
            <m:r>
              <m:t>p</m:t>
            </m:r>
          </m:sub>
        </m:sSub>
      </m:oMath>
      <w:r>
        <w:t xml:space="preserve">-indices and</w:t>
      </w:r>
      <w:r>
        <w:t xml:space="preserve"> </w:t>
      </w:r>
      <m:oMath>
        <m:sSub>
          <m:e>
            <m:r>
              <m:t>a</m:t>
            </m:r>
          </m:e>
          <m:sub>
            <m:r>
              <m:t>p</m:t>
            </m:r>
          </m:sub>
        </m:sSub>
      </m:oMath>
      <w:r>
        <w:t xml:space="preserve">-indices, which provide global measures of geomagnetic activity, alongside local</w:t>
      </w:r>
      <w:r>
        <w:t xml:space="preserve"> </w:t>
      </w:r>
      <m:oMath>
        <m:r>
          <m:t>T</m:t>
        </m:r>
        <m:r>
          <m:t>E</m:t>
        </m:r>
        <m:r>
          <m:t>C</m:t>
        </m:r>
      </m:oMath>
      <w:r>
        <w:t xml:space="preserve"> </w:t>
      </w:r>
      <w:r>
        <w:t xml:space="preserve">and</w:t>
      </w:r>
      <w:r>
        <w:t xml:space="preserve"> </w:t>
      </w:r>
      <m:oMath>
        <m:r>
          <m:t>D</m:t>
        </m:r>
        <m:r>
          <m:t>s</m:t>
        </m:r>
        <m:r>
          <m:t>t</m:t>
        </m:r>
      </m:oMath>
      <w:r>
        <w:t xml:space="preserve">-index values, allows for a more detailed assessment of the space environment and its potential effects on GNSS signals.</w:t>
      </w:r>
      <w:r>
        <w:t xml:space="preserve"> </w:t>
      </w:r>
      <m:oMath>
        <m:sSub>
          <m:e>
            <m:r>
              <m:t>a</m:t>
            </m:r>
          </m:e>
          <m:sub>
            <m:r>
              <m:t>p</m:t>
            </m:r>
          </m:sub>
        </m:sSub>
      </m:oMath>
      <w:r>
        <w:t xml:space="preserve">,</w:t>
      </w:r>
      <w:r>
        <w:t xml:space="preserve"> </w:t>
      </w:r>
      <m:oMath>
        <m:r>
          <m:t>T</m:t>
        </m:r>
        <m:r>
          <m:t>E</m:t>
        </m:r>
        <m:r>
          <m:t>C</m:t>
        </m:r>
      </m:oMath>
      <w:r>
        <w:t xml:space="preserve">,</w:t>
      </w:r>
      <w:r>
        <w:t xml:space="preserve"> </w:t>
      </w:r>
      <m:oMath>
        <m:r>
          <m:t>d</m:t>
        </m:r>
        <m:r>
          <m:t>T</m:t>
        </m:r>
        <m:r>
          <m:t>E</m:t>
        </m:r>
        <m:r>
          <m:t>C</m:t>
        </m:r>
      </m:oMath>
      <w:r>
        <w:t xml:space="preserve">,</w:t>
      </w:r>
      <w:r>
        <w:t xml:space="preserve"> </w:t>
      </w:r>
      <m:oMath>
        <m:r>
          <m:t>D</m:t>
        </m:r>
        <m:r>
          <m:t>s</m:t>
        </m:r>
        <m:r>
          <m:t>t</m:t>
        </m:r>
      </m:oMath>
      <w:r>
        <w:t xml:space="preserve"> </w:t>
      </w:r>
      <w:r>
        <w:t xml:space="preserve">were used with</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representing components of the Earth’s magnetic field to train machine-learning models.</w:t>
      </w:r>
    </w:p>
    <w:bookmarkStart w:id="30" w:name="magnetic-field-indices"/>
    <w:p>
      <w:pPr>
        <w:pStyle w:val="Heading3"/>
      </w:pPr>
      <w:r>
        <w:t xml:space="preserve">Magnetic Field Indices</w:t>
      </w:r>
    </w:p>
    <w:p>
      <w:pPr>
        <w:pStyle w:val="FirstParagraph"/>
      </w:pPr>
      <w:r>
        <w:t xml:space="preserve">The Earth’s magnetic field has similarities to that of a bar magnet. However, plasma gushes citestuff(schwenn2001solar) coming from the solar corona and the domain of the Sun influence the interplanetary magnetic field citestuff(melnikov1990relationships).</w:t>
      </w:r>
      <w:r>
        <w:t xml:space="preserve"> </w:t>
      </w:r>
      <m:oMath>
        <m:sSub>
          <m:e>
            <m:r>
              <m:t>B</m:t>
            </m:r>
          </m:e>
          <m:sub>
            <m:r>
              <m:t>x</m:t>
            </m:r>
          </m:sub>
        </m:sSub>
      </m:oMath>
      <w:r>
        <w:t xml:space="preserve">,</w:t>
      </w:r>
      <w:r>
        <w:t xml:space="preserve"> </w:t>
      </w:r>
      <m:oMath>
        <m:sSub>
          <m:e>
            <m:r>
              <m:t>B</m:t>
            </m:r>
          </m:e>
          <m:sub>
            <m:r>
              <m:t>y</m:t>
            </m:r>
          </m:sub>
        </m:sSub>
      </m:oMath>
      <w:r>
        <w:t xml:space="preserve"> </w:t>
      </w:r>
      <w:r>
        <w:t xml:space="preserve">and</w:t>
      </w:r>
      <w:r>
        <w:t xml:space="preserve"> </w:t>
      </w:r>
      <m:oMath>
        <m:sSub>
          <m:e>
            <m:r>
              <m:t>B</m:t>
            </m:r>
          </m:e>
          <m:sub>
            <m:r>
              <m:t>z</m:t>
            </m:r>
          </m:sub>
        </m:sSub>
      </m:oMath>
      <w:r>
        <w:t xml:space="preserve"> </w:t>
      </w:r>
      <w:r>
        <w:t xml:space="preserve">vector represent interplanetary magnetic field indices.</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are parallel to the plane of orbits, and the third component</w:t>
      </w:r>
      <w:r>
        <w:t xml:space="preserve"> </w:t>
      </w:r>
      <m:oMath>
        <m:sSub>
          <m:e>
            <m:r>
              <m:t>B</m:t>
            </m:r>
          </m:e>
          <m:sub>
            <m:r>
              <m:t>z</m:t>
            </m:r>
          </m:sub>
        </m:sSub>
      </m:oMath>
      <w:r>
        <w:t xml:space="preserve"> </w:t>
      </w:r>
      <w:r>
        <w:t xml:space="preserve">is perpendicular.</w:t>
      </w:r>
    </w:p>
    <w:p>
      <w:pPr>
        <w:pStyle w:val="BodyText"/>
      </w:pPr>
      <w:r>
        <w:t xml:space="preserve">The Sun’s magnetic field is</w:t>
      </w:r>
      <w:r>
        <w:t xml:space="preserve"> </w:t>
      </w:r>
      <m:oMath>
        <m:r>
          <m:t>100</m:t>
        </m:r>
      </m:oMath>
      <w:r>
        <w:t xml:space="preserve"> </w:t>
      </w:r>
      <w:r>
        <w:t xml:space="preserve">times larger than the Earth’s. Sunspots citestuff(harden2005solar) appear when the Sun’s activity is highest. Sunspots are filled with magnetism and large magnetic field lines, and matter sputtering can occur citestuff(gonzalez1994geomagnetic). Affected by solar winds citestuff(Viereck2024), the Earth’s magnetic field lines are compressed in the sun’s direction and expand in the wind’s direction. Twin poles (dipoles) are locations with a high concentration of magnetic field lines. The result is a tear-drop shape of the Earth’s magnetosphere. The Sun’s magnetic field lines are distant along the equatorial line but closer together in the poles, just like the Earth’s citestuff(aschwanden2006physics).</w:t>
      </w:r>
    </w:p>
    <w:p>
      <w:pPr>
        <w:pStyle w:val="BodyText"/>
      </w:pPr>
      <w:r>
        <w:t xml:space="preserve">The</w:t>
      </w:r>
      <w:r>
        <w:t xml:space="preserve"> </w:t>
      </w:r>
      <m:oMath>
        <m:sSub>
          <m:e>
            <m:r>
              <m:t>B</m:t>
            </m:r>
          </m:e>
          <m:sub>
            <m:r>
              <m:t>z</m:t>
            </m:r>
          </m:sub>
        </m:sSub>
      </m:oMath>
      <w:r>
        <w:t xml:space="preserve"> </w:t>
      </w:r>
      <w:r>
        <w:t xml:space="preserve">magnetic field component turns south in the initial phase of a magnetic storm while conditions on the north side are stable citestuff(abraha2014total). The electric (</w:t>
      </w:r>
      <m:oMath>
        <m:r>
          <m:t>E</m:t>
        </m:r>
      </m:oMath>
      <w:r>
        <w:t xml:space="preserve">) and magnetic (</w:t>
      </w:r>
      <m:oMath>
        <m:r>
          <m:t>B</m:t>
        </m:r>
      </m:oMath>
      <w:r>
        <w:t xml:space="preserve">) field is oriented westward in quiet conditions, with</w:t>
      </w:r>
      <w:r>
        <w:t xml:space="preserve"> </w:t>
      </w:r>
      <m:oMath>
        <m:r>
          <m:t>E</m:t>
        </m:r>
        <m:r>
          <m:rPr>
            <m:sty m:val="p"/>
          </m:rPr>
          <m:t>×</m:t>
        </m:r>
        <m:r>
          <m:t>B</m:t>
        </m:r>
      </m:oMath>
      <w:r>
        <w:t xml:space="preserve"> </w:t>
      </w:r>
      <w:r>
        <w:t xml:space="preserve">rotation in the</w:t>
      </w:r>
      <w:r>
        <w:t xml:space="preserve"> </w:t>
      </w:r>
      <m:oMath>
        <m:sSub>
          <m:e>
            <m:r>
              <m:t>B</m:t>
            </m:r>
          </m:e>
          <m:sub>
            <m:r>
              <m:t>y</m:t>
            </m:r>
          </m:sub>
        </m:sSub>
      </m:oMath>
      <w:r>
        <w:t xml:space="preserve"> </w:t>
      </w:r>
      <w:r>
        <w:t xml:space="preserve">electric field. During magnetic disturbances in equatorial regions, the</w:t>
      </w:r>
      <w:r>
        <w:t xml:space="preserve"> </w:t>
      </w:r>
      <m:oMath>
        <m:sSub>
          <m:e>
            <m:r>
              <m:t>B</m:t>
            </m:r>
          </m:e>
          <m:sub>
            <m:r>
              <m:t>y</m:t>
            </m:r>
          </m:sub>
        </m:sSub>
      </m:oMath>
      <w:r>
        <w:t xml:space="preserve"> </w:t>
      </w:r>
      <w:r>
        <w:t xml:space="preserve">electric field decreases, as does the downward slip from a positive to a negative value, leading to the positive phase of the storm. When severe deterioration occurs, the</w:t>
      </w:r>
      <w:r>
        <w:t xml:space="preserve"> </w:t>
      </w:r>
      <m:oMath>
        <m:sSub>
          <m:e>
            <m:r>
              <m:t>B</m:t>
            </m:r>
          </m:e>
          <m:sub>
            <m:r>
              <m:t>y</m:t>
            </m:r>
          </m:sub>
        </m:sSub>
      </m:oMath>
      <w:r>
        <w:t xml:space="preserve"> </w:t>
      </w:r>
      <w:r>
        <w:t xml:space="preserve">downward slip increases and the negative phase of a storm begins citestuff(turunen1980examples, adeniyi1986magnetic). An expansion of the F2 layer is also observed due to excess plasma production. Magnetic field indices are available in one-hour resolution from the web interface of the National Aeronautics and Space Administration (NASA) Goddard Space Physics Data Facility (SPDF) citestuff(Papitashvili2024About, Papitashvili2024Explorer).</w:t>
      </w:r>
    </w:p>
    <w:bookmarkEnd w:id="30"/>
    <w:bookmarkStart w:id="32" w:name="geomagnetic-storm-indices"/>
    <w:p>
      <w:pPr>
        <w:pStyle w:val="Heading3"/>
      </w:pPr>
      <w:r>
        <w:t xml:space="preserve">Geomagnetic Storm Indices</w:t>
      </w:r>
    </w:p>
    <w:p>
      <w:pPr>
        <w:pStyle w:val="FirstParagraph"/>
      </w:pPr>
      <w:r>
        <w:t xml:space="preserve">The geomagnetic storm</w:t>
      </w:r>
      <w:r>
        <w:t xml:space="preserve"> </w:t>
      </w:r>
      <m:oMath>
        <m:r>
          <m:t>K</m:t>
        </m:r>
      </m:oMath>
      <w:r>
        <w:t xml:space="preserve">-index is an integer from</w:t>
      </w:r>
      <w:r>
        <w:t xml:space="preserve"> </w:t>
      </w:r>
      <m:oMath>
        <m:r>
          <m:t>0</m:t>
        </m:r>
      </m:oMath>
      <w:r>
        <w:t xml:space="preserve"> </w:t>
      </w:r>
      <w:r>
        <w:t xml:space="preserve">to</w:t>
      </w:r>
      <w:r>
        <w:t xml:space="preserve"> </w:t>
      </w:r>
      <m:oMath>
        <m:r>
          <m:t>9</m:t>
        </m:r>
      </m:oMath>
      <w:r>
        <w:t xml:space="preserve"> </w:t>
      </w:r>
      <w:r>
        <w:t xml:space="preserve">measuring disturbances in global geomagnetic activity derived from</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component of the Earth’s magnetic field citestuff(de2007ionosphere). The maximum positive and negative fluctuations of</w:t>
      </w:r>
      <w:r>
        <w:t xml:space="preserve"> </w:t>
      </w:r>
      <m:oMath>
        <m:sSub>
          <m:e>
            <m:r>
              <m:t>B</m:t>
            </m:r>
          </m:e>
          <m:sub>
            <m:r>
              <m:t>x</m:t>
            </m:r>
          </m:sub>
        </m:sSub>
      </m:oMath>
      <w:r>
        <w:t xml:space="preserve"> </w:t>
      </w:r>
      <w:r>
        <w:t xml:space="preserve">and</w:t>
      </w:r>
      <w:r>
        <w:t xml:space="preserve"> </w:t>
      </w:r>
      <m:oMath>
        <m:sSub>
          <m:e>
            <m:r>
              <m:t>B</m:t>
            </m:r>
          </m:e>
          <m:sub>
            <m:r>
              <m:t>y</m:t>
            </m:r>
          </m:sub>
        </m:sSub>
      </m:oMath>
      <w:r>
        <w:t xml:space="preserve">, relative to a quiet day, and based on magnetometer observations during</w:t>
      </w:r>
      <w:r>
        <w:t xml:space="preserve"> </w:t>
      </w:r>
      <m:oMath>
        <m:r>
          <m:t>3</m:t>
        </m:r>
      </m:oMath>
      <w:r>
        <w:t xml:space="preserve"> </w:t>
      </w:r>
      <w:r>
        <w:t xml:space="preserve">hours, are added together to determine the total maximum fluctuation.</w:t>
      </w:r>
    </w:p>
    <w:p>
      <w:pPr>
        <w:pStyle w:val="BodyText"/>
      </w:pPr>
      <w:r>
        <w:t xml:space="preserve">Each observatory uses different threshold values to convert the maximum</w:t>
      </w:r>
      <w:r>
        <w:t xml:space="preserve"> </w:t>
      </w:r>
      <m:oMath>
        <m:r>
          <m:t>n</m:t>
        </m:r>
        <m:r>
          <m:t>T</m:t>
        </m:r>
      </m:oMath>
      <w:r>
        <w:t xml:space="preserve"> </w:t>
      </w:r>
      <w:r>
        <w:t xml:space="preserve">(nanotesla) fluctuation to a</w:t>
      </w:r>
      <w:r>
        <w:t xml:space="preserve"> </w:t>
      </w:r>
      <m:oMath>
        <m:r>
          <m:t>K</m:t>
        </m:r>
      </m:oMath>
      <w:r>
        <w:t xml:space="preserve">-index value. The threshold values for each observatory are adjusted so that the historical rate of occurrence for each</w:t>
      </w:r>
      <w:r>
        <w:t xml:space="preserve"> </w:t>
      </w:r>
      <m:oMath>
        <m:r>
          <m:t>K</m:t>
        </m:r>
      </m:oMath>
      <w:r>
        <w:t xml:space="preserve">-index value is similar across all observatories. Observatories with a lower geomagnetic latitude use a lower fluctuation in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to achieve each</w:t>
      </w:r>
      <w:r>
        <w:t xml:space="preserve"> </w:t>
      </w:r>
      <m:oMath>
        <m:r>
          <m:t>K</m:t>
        </m:r>
      </m:oMath>
      <w:r>
        <w:t xml:space="preserve">-index value.</w:t>
      </w:r>
    </w:p>
    <w:p>
      <w:pPr>
        <w:pStyle w:val="BodyText"/>
      </w:pPr>
      <w:r>
        <w:t xml:space="preserve">The threshold valid in Boulder, Colorado citestuff(NOAA2024bKindex) for transforming the maximum</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fluctuation measured in</w:t>
      </w:r>
      <w:r>
        <w:t xml:space="preserve"> </w:t>
      </w:r>
      <m:oMath>
        <m:r>
          <m:t>n</m:t>
        </m:r>
        <m:r>
          <m:t>T</m:t>
        </m:r>
      </m:oMath>
      <w:r>
        <w:t xml:space="preserve"> </w:t>
      </w:r>
      <w:r>
        <w:t xml:space="preserve">using a magnetometer into a</w:t>
      </w:r>
      <w:r>
        <w:t xml:space="preserve"> </w:t>
      </w:r>
      <m:oMath>
        <m:r>
          <m:t>K</m:t>
        </m:r>
      </m:oMath>
      <w:r>
        <w:t xml:space="preserve">-index value is given in Table </w:t>
      </w:r>
      <w:hyperlink w:anchor="tab:K">
        <w:r>
          <w:rPr>
            <w:rStyle w:val="Hyperlink"/>
          </w:rPr>
          <w:t xml:space="preserve">2</w:t>
        </w:r>
      </w:hyperlink>
      <w:r>
        <w:t xml:space="preserve">.</w:t>
      </w:r>
    </w:p>
    <w:bookmarkStart w:id="31" w:name="tab:K"/>
    <w:p>
      <w:pPr>
        <w:pStyle w:val="TableCaption"/>
      </w:pPr>
      <w:r>
        <w:t xml:space="preserve">The relationship between the</w:t>
      </w:r>
      <w:r>
        <w:t xml:space="preserve"> </w:t>
      </w:r>
      <m:oMath>
        <m:r>
          <m:t>K</m:t>
        </m:r>
      </m:oMath>
      <w:r>
        <w:t xml:space="preserve">-index and magnetometer observations of</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in</w:t>
      </w:r>
      <w:r>
        <w:t xml:space="preserve"> </w:t>
      </w:r>
      <m:oMath>
        <m:r>
          <m:t>n</m:t>
        </m:r>
        <m:r>
          <m:t>T</m:t>
        </m:r>
      </m:oMath>
      <w:r>
        <w:t xml:space="preserve"> </w:t>
      </w:r>
      <w:r>
        <w:t xml:space="preserve">in Boulder, Colorado.</w:t>
      </w:r>
    </w:p>
    <w:tbl>
      <w:tblPr>
        <w:tblStyle w:val="Table"/>
        <w:tblW w:type="auto" w:w="0"/>
        <w:tblLook w:firstRow="1" w:lastRow="0" w:firstColumn="0" w:lastColumn="0" w:noHBand="0" w:noVBand="0" w:val="0020"/>
        <w:tblCaption w:val="The relationship between the K-index and magnetometer observations of B_{x} and B_{y} in nT in Boulder, Colorado."/>
      </w:tblPr>
      <w:tblGrid>
        <w:gridCol w:w="1320"/>
        <w:gridCol w:w="1320"/>
        <w:gridCol w:w="1320"/>
        <w:gridCol w:w="1320"/>
        <w:gridCol w:w="1320"/>
        <w:gridCol w:w="1320"/>
      </w:tblGrid>
      <w:tr>
        <w:trPr>
          <w:tblHeader w:val="on"/>
        </w:trPr>
        <w:tc>
          <w:tcPr/>
          <w:p>
            <w:pPr>
              <w:pStyle w:val="Compact"/>
              <w:jc w:val="center"/>
            </w:pPr>
            <m:oMath>
              <m:r>
                <m:t>K</m:t>
              </m:r>
            </m:oMath>
          </w:p>
        </w:tc>
        <w:tc>
          <w:tcPr/>
          <w:p>
            <w:pPr>
              <w:pStyle w:val="Compact"/>
              <w:jc w:val="center"/>
            </w:pPr>
            <m:oMath>
              <m:r>
                <m:t>0</m:t>
              </m:r>
            </m:oMath>
          </w:p>
        </w:tc>
        <w:tc>
          <w:tcPr/>
          <w:p>
            <w:pPr>
              <w:pStyle w:val="Compact"/>
              <w:jc w:val="center"/>
            </w:pPr>
            <m:oMath>
              <m:r>
                <m:t>1</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r>
      <w:tr>
        <w:tc>
          <w:tcPr/>
          <w:p>
            <w:pPr>
              <w:pStyle w:val="Compact"/>
              <w:jc w:val="center"/>
            </w:pPr>
            <m:oMath>
              <m:sSub>
                <m:e>
                  <m:r>
                    <m:t>B</m:t>
                  </m:r>
                </m:e>
                <m:sub>
                  <m:r>
                    <m:t>x</m:t>
                  </m:r>
                </m:sub>
              </m:sSub>
            </m:oMath>
            <w:r>
              <w:t xml:space="preserve"> </w:t>
            </w:r>
            <w:r>
              <w:t xml:space="preserve">and</w:t>
            </w:r>
            <w:r>
              <w:t xml:space="preserve"> </w:t>
            </w:r>
            <m:oMath>
              <m:sSub>
                <m:e>
                  <m:r>
                    <m:t>B</m:t>
                  </m:r>
                </m:e>
                <m:sub>
                  <m:r>
                    <m:t>y</m:t>
                  </m:r>
                </m:sub>
              </m:sSub>
            </m:oMath>
            <w:r>
              <w:t xml:space="preserve"> </w:t>
            </w:r>
            <w:r>
              <w:t xml:space="preserve">(</w:t>
            </w:r>
            <m:oMath>
              <m:r>
                <m:t>n</m:t>
              </m:r>
              <m:r>
                <m:t>T</m:t>
              </m:r>
            </m:oMath>
            <w:r>
              <w:t xml:space="preserve">)</w:t>
            </w:r>
          </w:p>
        </w:tc>
        <w:tc>
          <w:tcPr/>
          <w:p>
            <w:pPr>
              <w:pStyle w:val="Compact"/>
              <w:jc w:val="center"/>
            </w:pPr>
            <m:oMath>
              <m:r>
                <m:t>0</m:t>
              </m:r>
            </m:oMath>
            <w:r>
              <w:t xml:space="preserve"> </w:t>
            </w:r>
            <w:r>
              <w:t xml:space="preserve">-</w:t>
            </w:r>
            <w:r>
              <w:t xml:space="preserve"> </w:t>
            </w:r>
            <m:oMath>
              <m:r>
                <m:t>5</m:t>
              </m:r>
            </m:oMath>
          </w:p>
        </w:tc>
        <w:tc>
          <w:tcPr/>
          <w:p>
            <w:pPr>
              <w:pStyle w:val="Compact"/>
              <w:jc w:val="center"/>
            </w:pPr>
            <m:oMath>
              <m:r>
                <m:t>5</m:t>
              </m:r>
            </m:oMath>
            <w:r>
              <w:t xml:space="preserve"> </w:t>
            </w:r>
            <w:r>
              <w:t xml:space="preserve">-</w:t>
            </w:r>
            <w:r>
              <w:t xml:space="preserve"> </w:t>
            </w:r>
            <m:oMath>
              <m:r>
                <m:t>10</m:t>
              </m:r>
            </m:oMath>
          </w:p>
        </w:tc>
        <w:tc>
          <w:tcPr/>
          <w:p>
            <w:pPr>
              <w:pStyle w:val="Compact"/>
              <w:jc w:val="center"/>
            </w:pPr>
            <m:oMath>
              <m:r>
                <m:t>10</m:t>
              </m:r>
            </m:oMath>
            <w:r>
              <w:t xml:space="preserve"> </w:t>
            </w:r>
            <w:r>
              <w:t xml:space="preserve">-</w:t>
            </w:r>
            <w:r>
              <w:t xml:space="preserve"> </w:t>
            </w:r>
            <m:oMath>
              <m:r>
                <m:t>20</m:t>
              </m:r>
            </m:oMath>
          </w:p>
        </w:tc>
        <w:tc>
          <w:tcPr/>
          <w:p>
            <w:pPr>
              <w:pStyle w:val="Compact"/>
              <w:jc w:val="center"/>
            </w:pPr>
            <m:oMath>
              <m:r>
                <m:t>20</m:t>
              </m:r>
            </m:oMath>
            <w:r>
              <w:t xml:space="preserve"> </w:t>
            </w:r>
            <w:r>
              <w:t xml:space="preserve">-</w:t>
            </w:r>
            <w:r>
              <w:t xml:space="preserve"> </w:t>
            </w:r>
            <m:oMath>
              <m:r>
                <m:t>40</m:t>
              </m:r>
            </m:oMath>
          </w:p>
        </w:tc>
        <w:tc>
          <w:tcPr/>
          <w:p>
            <w:pPr>
              <w:pStyle w:val="Compact"/>
              <w:jc w:val="center"/>
            </w:pPr>
            <m:oMath>
              <m:r>
                <m:t>40</m:t>
              </m:r>
            </m:oMath>
            <w:r>
              <w:t xml:space="preserve"> </w:t>
            </w:r>
            <w:r>
              <w:t xml:space="preserve">-</w:t>
            </w:r>
            <w:r>
              <w:t xml:space="preserve"> </w:t>
            </w:r>
            <m:oMath>
              <m:r>
                <m:t>70</m:t>
              </m:r>
            </m:oMath>
          </w:p>
        </w:tc>
      </w:tr>
      <w:tr>
        <w:tc>
          <w:tcPr/>
          <w:p>
            <w:pPr>
              <w:pStyle w:val="Compact"/>
              <w:jc w:val="center"/>
            </w:pPr>
            <m:oMath>
              <m:r>
                <m:t>K</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8</m:t>
              </m:r>
            </m:oMath>
          </w:p>
        </w:tc>
        <w:tc>
          <w:tcPr/>
          <w:p>
            <w:pPr>
              <w:pStyle w:val="Compact"/>
              <w:jc w:val="center"/>
            </w:pPr>
            <m:oMath>
              <m:r>
                <m:t>9</m:t>
              </m:r>
            </m:oMath>
          </w:p>
        </w:tc>
      </w:tr>
      <w:tr>
        <w:tc>
          <w:tcPr/>
          <w:p>
            <w:pPr>
              <w:pStyle w:val="Compact"/>
              <w:jc w:val="center"/>
            </w:pPr>
            <m:oMath>
              <m:sSub>
                <m:e>
                  <m:r>
                    <m:t>B</m:t>
                  </m:r>
                </m:e>
                <m:sub>
                  <m:r>
                    <m:t>x</m:t>
                  </m:r>
                </m:sub>
              </m:sSub>
            </m:oMath>
            <w:r>
              <w:t xml:space="preserve"> </w:t>
            </w:r>
            <w:r>
              <w:t xml:space="preserve">and</w:t>
            </w:r>
            <w:r>
              <w:t xml:space="preserve"> </w:t>
            </w:r>
            <m:oMath>
              <m:sSub>
                <m:e>
                  <m:r>
                    <m:t>B</m:t>
                  </m:r>
                </m:e>
                <m:sub>
                  <m:r>
                    <m:t>y</m:t>
                  </m:r>
                </m:sub>
              </m:sSub>
            </m:oMath>
            <w:r>
              <w:t xml:space="preserve"> </w:t>
            </w:r>
            <w:r>
              <w:t xml:space="preserve">(</w:t>
            </w:r>
            <m:oMath>
              <m:r>
                <m:t>n</m:t>
              </m:r>
              <m:r>
                <m:t>T</m:t>
              </m:r>
            </m:oMath>
            <w:r>
              <w:t xml:space="preserve">)</w:t>
            </w:r>
          </w:p>
        </w:tc>
        <w:tc>
          <w:tcPr/>
          <w:p>
            <w:pPr>
              <w:pStyle w:val="Compact"/>
              <w:jc w:val="center"/>
            </w:pPr>
            <m:oMath>
              <m:r>
                <m:t>70</m:t>
              </m:r>
            </m:oMath>
            <w:r>
              <w:t xml:space="preserve"> </w:t>
            </w:r>
            <w:r>
              <w:t xml:space="preserve">-</w:t>
            </w:r>
            <w:r>
              <w:t xml:space="preserve"> </w:t>
            </w:r>
            <m:oMath>
              <m:r>
                <m:t>120</m:t>
              </m:r>
            </m:oMath>
          </w:p>
        </w:tc>
        <w:tc>
          <w:tcPr/>
          <w:p>
            <w:pPr>
              <w:pStyle w:val="Compact"/>
              <w:jc w:val="center"/>
            </w:pPr>
            <m:oMath>
              <m:r>
                <m:t>120</m:t>
              </m:r>
            </m:oMath>
            <w:r>
              <w:t xml:space="preserve"> </w:t>
            </w:r>
            <w:r>
              <w:t xml:space="preserve">-</w:t>
            </w:r>
            <w:r>
              <w:t xml:space="preserve"> </w:t>
            </w:r>
            <m:oMath>
              <m:r>
                <m:t>200</m:t>
              </m:r>
            </m:oMath>
          </w:p>
        </w:tc>
        <w:tc>
          <w:tcPr/>
          <w:p>
            <w:pPr>
              <w:pStyle w:val="Compact"/>
              <w:jc w:val="center"/>
            </w:pPr>
            <m:oMath>
              <m:r>
                <m:t>200</m:t>
              </m:r>
            </m:oMath>
            <w:r>
              <w:t xml:space="preserve"> </w:t>
            </w:r>
            <w:r>
              <w:t xml:space="preserve">-</w:t>
            </w:r>
            <w:r>
              <w:t xml:space="preserve"> </w:t>
            </w:r>
            <m:oMath>
              <m:r>
                <m:t>330</m:t>
              </m:r>
            </m:oMath>
          </w:p>
        </w:tc>
        <w:tc>
          <w:tcPr/>
          <w:p>
            <w:pPr>
              <w:pStyle w:val="Compact"/>
              <w:jc w:val="center"/>
            </w:pPr>
            <m:oMath>
              <m:r>
                <m:t>330</m:t>
              </m:r>
            </m:oMath>
            <w:r>
              <w:t xml:space="preserve"> </w:t>
            </w:r>
            <w:r>
              <w:t xml:space="preserve">-</w:t>
            </w:r>
            <w:r>
              <w:t xml:space="preserve"> </w:t>
            </w:r>
            <m:oMath>
              <m:r>
                <m:t>500</m:t>
              </m:r>
            </m:oMath>
          </w:p>
        </w:tc>
        <w:tc>
          <w:tcPr/>
          <w:p>
            <w:pPr>
              <w:pStyle w:val="Compact"/>
              <w:jc w:val="center"/>
            </w:pPr>
            <m:oMath>
              <m:r>
                <m:rPr>
                  <m:sty m:val="p"/>
                </m:rPr>
                <m:t>&gt;</m:t>
              </m:r>
              <m:r>
                <m:t>500</m:t>
              </m:r>
            </m:oMath>
          </w:p>
        </w:tc>
      </w:tr>
    </w:tbl>
    <w:bookmarkEnd w:id="31"/>
    <w:bookmarkEnd w:id="32"/>
    <w:bookmarkStart w:id="34" w:name="planetary-geomagnetic-storm-indices"/>
    <w:p>
      <w:pPr>
        <w:pStyle w:val="Heading3"/>
      </w:pPr>
      <w:r>
        <w:t xml:space="preserve">Planetary Geomagnetic Storm Indices</w:t>
      </w:r>
    </w:p>
    <w:p>
      <w:pPr>
        <w:pStyle w:val="FirstParagraph"/>
      </w:pPr>
      <w:r>
        <w:t xml:space="preserve">The planetary geomagnetic storm</w:t>
      </w:r>
      <w:r>
        <w:t xml:space="preserve"> </w:t>
      </w:r>
      <m:oMath>
        <m:sSub>
          <m:e>
            <m:r>
              <m:t>K</m:t>
            </m:r>
          </m:e>
          <m:sub>
            <m:r>
              <m:t>p</m:t>
            </m:r>
          </m:sub>
        </m:sSub>
      </m:oMath>
      <w:r>
        <w:t xml:space="preserve">-index citestuff(Matzka2024) is derived from</w:t>
      </w:r>
      <w:r>
        <w:t xml:space="preserve"> </w:t>
      </w:r>
      <m:oMath>
        <m:r>
          <m:t>3</m:t>
        </m:r>
      </m:oMath>
      <w:r>
        <w:t xml:space="preserve">-hour-based</w:t>
      </w:r>
      <w:r>
        <w:t xml:space="preserve"> </w:t>
      </w:r>
      <m:oMath>
        <m:r>
          <m:t>K</m:t>
        </m:r>
      </m:oMath>
      <w:r>
        <w:t xml:space="preserve"> </w:t>
      </w:r>
      <w:r>
        <w:t xml:space="preserve">indices from</w:t>
      </w:r>
      <w:r>
        <w:t xml:space="preserve"> </w:t>
      </w:r>
      <m:oMath>
        <m:r>
          <m:t>13</m:t>
        </m:r>
      </m:oMath>
      <w:r>
        <w:t xml:space="preserve"> </w:t>
      </w:r>
      <w:r>
        <w:t xml:space="preserve">magnetometer stations between</w:t>
      </w:r>
      <w:r>
        <w:t xml:space="preserve"> </w:t>
      </w:r>
      <m:oMath>
        <m:r>
          <m:t>44</m:t>
        </m:r>
      </m:oMath>
      <w:r>
        <w:t xml:space="preserve"> </w:t>
      </w:r>
      <w:r>
        <w:t xml:space="preserve">and</w:t>
      </w:r>
      <w:r>
        <w:t xml:space="preserve"> </w:t>
      </w:r>
      <m:oMath>
        <m:r>
          <m:t>60</m:t>
        </m:r>
      </m:oMath>
      <w:r>
        <w:t xml:space="preserve"> </w:t>
      </w:r>
      <w:r>
        <w:t xml:space="preserve">degrees of north and south latitude. Announcements and warnings citestuff(NOAA2024cAlertsWatches) of geomagnetic changes and disturbances in the Earth’s magnetic field are based on the</w:t>
      </w:r>
      <w:r>
        <w:t xml:space="preserve"> </w:t>
      </w:r>
      <m:oMath>
        <m:sSub>
          <m:e>
            <m:r>
              <m:t>K</m:t>
            </m:r>
          </m:e>
          <m:sub>
            <m:r>
              <m:t>p</m:t>
            </m:r>
          </m:sub>
        </m:sSub>
      </m:oMath>
      <w:r>
        <w:t xml:space="preserve">-index.</w:t>
      </w:r>
    </w:p>
    <w:p>
      <w:pPr>
        <w:pStyle w:val="BodyText"/>
      </w:pPr>
      <w:r>
        <w:t xml:space="preserve">Hourly geomagnetic storm index data are available on the NASA Goddard SPDF citestuff(Papitashvili2024About, Papitashvili2024Explorer) web pages. The scale values of the</w:t>
      </w:r>
      <w:r>
        <w:t xml:space="preserve"> </w:t>
      </w:r>
      <m:oMath>
        <m:sSub>
          <m:e>
            <m:r>
              <m:t>K</m:t>
            </m:r>
          </m:e>
          <m:sub>
            <m:r>
              <m:t>p</m:t>
            </m:r>
          </m:sub>
        </m:sSub>
      </m:oMath>
      <w:r>
        <w:t xml:space="preserve">-index are determined by the change of the geomagnetic field and the geomagnetic storm effect in</w:t>
      </w:r>
      <w:r>
        <w:t xml:space="preserve"> </w:t>
      </w:r>
      <m:oMath>
        <m:r>
          <m:t>n</m:t>
        </m:r>
        <m:r>
          <m:t>T</m:t>
        </m:r>
      </m:oMath>
      <w:r>
        <w:t xml:space="preserve">.</w:t>
      </w:r>
    </w:p>
    <w:p>
      <w:pPr>
        <w:pStyle w:val="BodyText"/>
      </w:pPr>
      <w:r>
        <w:t xml:space="preserve">The official planetary</w:t>
      </w:r>
      <w:r>
        <w:t xml:space="preserve"> </w:t>
      </w:r>
      <m:oMath>
        <m:sSub>
          <m:e>
            <m:r>
              <m:t>K</m:t>
            </m:r>
          </m:e>
          <m:sub>
            <m:r>
              <m:t>p</m:t>
            </m:r>
          </m:sub>
        </m:sSub>
      </m:oMath>
      <w:r>
        <w:t xml:space="preserve">-index is a weighted average of</w:t>
      </w:r>
      <w:r>
        <w:t xml:space="preserve"> </w:t>
      </w:r>
      <m:oMath>
        <m:r>
          <m:t>K</m:t>
        </m:r>
      </m:oMath>
      <w:r>
        <w:t xml:space="preserve">-indices from multiple observatories. When</w:t>
      </w:r>
      <w:r>
        <w:t xml:space="preserve"> </w:t>
      </w:r>
      <m:oMath>
        <m:r>
          <m:t>K</m:t>
        </m:r>
      </m:oMath>
      <w:r>
        <w:t xml:space="preserve">-index data is not available in real-time, operators such as The National Oceanic and Atmospheric Administration (NOAA) Space Weather Prediction Center (SWPC) calculate near real-time estimates of the</w:t>
      </w:r>
      <w:r>
        <w:t xml:space="preserve"> </w:t>
      </w:r>
      <m:oMath>
        <m:sSub>
          <m:e>
            <m:r>
              <m:t>K</m:t>
            </m:r>
          </m:e>
          <m:sub>
            <m:r>
              <m:t>p</m:t>
            </m:r>
          </m:sub>
        </m:sSub>
      </m:oMath>
      <w:r>
        <w:t xml:space="preserve">-index citestuff(Myint2022).</w:t>
      </w:r>
    </w:p>
    <w:p>
      <w:pPr>
        <w:pStyle w:val="BodyText"/>
      </w:pPr>
      <w:r>
        <w:t xml:space="preserve">The NOAA SWPC citestuff(NOAA2024dPlanetary) uses ground-based magnetometers located in Sitka, (Alaska), Meanook (Canada), Ottawa (Canada), Fredericksburg (Virginia), Hartland (UK), Wingst (Germany), Niemegk (Germany), and Canberra (Australia). The SWPC collaborates with the U.S. Geological Survey, Natural Resources Canada (NRCAN), the British Geological Survey, the German Research Centre for Geosciences (GFZ), and Geoscience Australia to gather additional data. The Institut de Physique du Globe de Paris and the Korean Space Weather also contributed magnetometer observations.</w:t>
      </w:r>
    </w:p>
    <w:p>
      <w:pPr>
        <w:pStyle w:val="BodyText"/>
      </w:pPr>
      <m:oMath>
        <m:r>
          <m:t>K</m:t>
        </m:r>
      </m:oMath>
      <w:r>
        <w:t xml:space="preserve">-index Watches are issued when the highest predicted NOAA estimated</w:t>
      </w:r>
      <w:r>
        <w:t xml:space="preserve"> </w:t>
      </w:r>
      <m:oMath>
        <m:sSub>
          <m:e>
            <m:r>
              <m:t>K</m:t>
            </m:r>
          </m:e>
          <m:sub>
            <m:r>
              <m:t>p</m:t>
            </m:r>
          </m:sub>
        </m:sSub>
      </m:oMath>
      <w:r>
        <w:t xml:space="preserve">-indices for a day are</w:t>
      </w:r>
      <w:r>
        <w:t xml:space="preserve"> </w:t>
      </w:r>
      <m:oMath>
        <m:r>
          <m:t>K</m:t>
        </m:r>
      </m:oMath>
      <w:r>
        <w:t xml:space="preserve"> </w:t>
      </w:r>
      <m:oMath>
        <m:r>
          <m:rPr>
            <m:sty m:val="p"/>
          </m:rPr>
          <m:t>=</m:t>
        </m:r>
      </m:oMath>
      <w:r>
        <w:t xml:space="preserve"> </w:t>
      </w:r>
      <m:oMath>
        <m:r>
          <m:t>5</m:t>
        </m:r>
      </m:oMath>
      <w:r>
        <w:t xml:space="preserve">,</w:t>
      </w:r>
      <w:r>
        <w:t xml:space="preserve"> </w:t>
      </w:r>
      <m:oMath>
        <m:r>
          <m:t>6</m:t>
        </m:r>
      </m:oMath>
      <w:r>
        <w:t xml:space="preserve">,</w:t>
      </w:r>
      <w:r>
        <w:t xml:space="preserve"> </w:t>
      </w:r>
      <m:oMath>
        <m:r>
          <m:t>7</m:t>
        </m:r>
      </m:oMath>
      <w:r>
        <w:t xml:space="preserve">, or</w:t>
      </w:r>
      <w:r>
        <w:t xml:space="preserve"> </w:t>
      </w:r>
      <m:oMath>
        <m:r>
          <m:rPr>
            <m:sty m:val="p"/>
          </m:rPr>
          <m:t>≥</m:t>
        </m:r>
        <m:r>
          <m:t>8</m:t>
        </m:r>
      </m:oMath>
      <w:r>
        <w:t xml:space="preserve"> </w:t>
      </w:r>
      <w:r>
        <w:t xml:space="preserve">and is reported in terms of the NOAA G scale.</w:t>
      </w:r>
      <w:r>
        <w:t xml:space="preserve"> </w:t>
      </w:r>
      <m:oMath>
        <m:r>
          <m:t>K</m:t>
        </m:r>
      </m:oMath>
      <w:r>
        <w:t xml:space="preserve">-index Warnings are issued when NOAA estimated</w:t>
      </w:r>
      <w:r>
        <w:t xml:space="preserve"> </w:t>
      </w:r>
      <m:oMath>
        <m:sSub>
          <m:e>
            <m:r>
              <m:t>K</m:t>
            </m:r>
          </m:e>
          <m:sub>
            <m:r>
              <m:t>p</m:t>
            </m:r>
          </m:sub>
        </m:sSub>
      </m:oMath>
      <w:r>
        <w:t xml:space="preserve">-indices of</w:t>
      </w:r>
      <w:r>
        <w:t xml:space="preserve"> </w:t>
      </w:r>
      <m:oMath>
        <m:r>
          <m:t>4</m:t>
        </m:r>
      </m:oMath>
      <w:r>
        <w:t xml:space="preserve">,</w:t>
      </w:r>
      <w:r>
        <w:t xml:space="preserve"> </w:t>
      </w:r>
      <m:oMath>
        <m:r>
          <m:t>5</m:t>
        </m:r>
      </m:oMath>
      <w:r>
        <w:t xml:space="preserve">,</w:t>
      </w:r>
      <w:r>
        <w:t xml:space="preserve"> </w:t>
      </w:r>
      <m:oMath>
        <m:r>
          <m:t>6</m:t>
        </m:r>
      </m:oMath>
      <w:r>
        <w:t xml:space="preserve">, and</w:t>
      </w:r>
      <w:r>
        <w:t xml:space="preserve"> </w:t>
      </w:r>
      <m:oMath>
        <m:r>
          <m:t>7</m:t>
        </m:r>
      </m:oMath>
      <w:r>
        <w:t xml:space="preserve"> </w:t>
      </w:r>
      <w:r>
        <w:t xml:space="preserve">or greater are expected.</w:t>
      </w:r>
      <w:r>
        <w:t xml:space="preserve"> </w:t>
      </w:r>
      <m:oMath>
        <m:r>
          <m:t>K</m:t>
        </m:r>
      </m:oMath>
      <w:r>
        <w:t xml:space="preserve">-index Alerts are issued when the NOAA estimated</w:t>
      </w:r>
      <w:r>
        <w:t xml:space="preserve"> </w:t>
      </w:r>
      <m:oMath>
        <m:sSub>
          <m:e>
            <m:r>
              <m:t>K</m:t>
            </m:r>
          </m:e>
          <m:sub>
            <m:r>
              <m:t>p</m:t>
            </m:r>
          </m:sub>
        </m:sSub>
      </m:oMath>
      <w:r>
        <w:t xml:space="preserve">-indices reach</w:t>
      </w:r>
      <w:r>
        <w:t xml:space="preserve"> </w:t>
      </w:r>
      <m:oMath>
        <m:r>
          <m:t>4</m:t>
        </m:r>
      </m:oMath>
      <w:r>
        <w:t xml:space="preserve">,</w:t>
      </w:r>
      <w:r>
        <w:t xml:space="preserve"> </w:t>
      </w:r>
      <m:oMath>
        <m:r>
          <m:t>5</m:t>
        </m:r>
      </m:oMath>
      <w:r>
        <w:t xml:space="preserve">,</w:t>
      </w:r>
      <w:r>
        <w:t xml:space="preserve"> </w:t>
      </w:r>
      <m:oMath>
        <m:r>
          <m:t>6</m:t>
        </m:r>
      </m:oMath>
      <w:r>
        <w:t xml:space="preserve">,</w:t>
      </w:r>
      <w:r>
        <w:t xml:space="preserve"> </w:t>
      </w:r>
      <m:oMath>
        <m:r>
          <m:t>7</m:t>
        </m:r>
      </m:oMath>
      <w:r>
        <w:t xml:space="preserve">,</w:t>
      </w:r>
      <w:r>
        <w:t xml:space="preserve"> </w:t>
      </w:r>
      <m:oMath>
        <m:r>
          <m:t>8</m:t>
        </m:r>
      </m:oMath>
      <w:r>
        <w:t xml:space="preserve">, or</w:t>
      </w:r>
      <w:r>
        <w:t xml:space="preserve"> </w:t>
      </w:r>
      <m:oMath>
        <m:r>
          <m:t>9</m:t>
        </m:r>
      </m:oMath>
      <w:r>
        <w:t xml:space="preserve">. The</w:t>
      </w:r>
      <w:r>
        <w:t xml:space="preserve"> </w:t>
      </w:r>
      <m:oMath>
        <m:sSub>
          <m:e>
            <m:r>
              <m:t>K</m:t>
            </m:r>
          </m:e>
          <m:sub>
            <m:r>
              <m:t>p</m:t>
            </m:r>
          </m:sub>
        </m:sSub>
      </m:oMath>
      <w:r>
        <w:t xml:space="preserve">-index as related to geomagnetic storm descriptions and warnings using the NOAA G scale citestuff(NOAA2024eSpace, NOAA2024fScales) is given in Table </w:t>
      </w:r>
      <w:hyperlink w:anchor="tab:Kp">
        <w:r>
          <w:rPr>
            <w:rStyle w:val="Hyperlink"/>
          </w:rPr>
          <w:t xml:space="preserve">3</w:t>
        </w:r>
      </w:hyperlink>
      <w:r>
        <w:t xml:space="preserve">.</w:t>
      </w:r>
    </w:p>
    <w:p>
      <w:pPr>
        <w:pStyle w:val="BodyText"/>
      </w:pPr>
      <w:r>
        <w:t xml:space="preserve">In March 2021,</w:t>
      </w:r>
      <w:r>
        <w:t xml:space="preserve"> </w:t>
      </w:r>
      <m:oMath>
        <m:sSub>
          <m:e>
            <m:r>
              <m:t>K</m:t>
            </m:r>
          </m:e>
          <m:sub>
            <m:r>
              <m:t>p</m:t>
            </m:r>
          </m:sub>
        </m:sSub>
      </m:oMath>
      <w:r>
        <w:t xml:space="preserve"> </w:t>
      </w:r>
      <w:r>
        <w:t xml:space="preserve">was assigned a DOI with a dataset citestuff(Matzka2021a) and a scientific publication citestuff(Matzka2021b) for reference.</w:t>
      </w:r>
    </w:p>
    <w:bookmarkStart w:id="33" w:name="tab:Kp"/>
    <w:p>
      <w:pPr>
        <w:pStyle w:val="TableCaption"/>
      </w:pPr>
      <w:r>
        <w:t xml:space="preserve">The</w:t>
      </w:r>
      <w:r>
        <w:t xml:space="preserve"> </w:t>
      </w:r>
      <m:oMath>
        <m:sSub>
          <m:e>
            <m:r>
              <m:t>K</m:t>
            </m:r>
          </m:e>
          <m:sub>
            <m:r>
              <m:t>p</m:t>
            </m:r>
          </m:sub>
        </m:sSub>
      </m:oMath>
      <w:r>
        <w:t xml:space="preserve">-index as related to geomagnetic storm descriptions and warnings using the NOAA G scale citestuff(NOAA2024eSpace, NOAA2024fScales).</w:t>
      </w:r>
    </w:p>
    <w:tbl>
      <w:tblPr>
        <w:tblStyle w:val="Table"/>
        <w:tblW w:type="auto" w:w="0"/>
        <w:tblLook w:firstRow="1" w:lastRow="0" w:firstColumn="0" w:lastColumn="0" w:noHBand="0" w:noVBand="0" w:val="0020"/>
        <w:tblCaption w:val="The K_{p}-index as related to geomagnetic storm descriptions and warnings using the NOAA G scale citestuff(NOAA2024eSpace, NOAA2024fScales)."/>
      </w:tblPr>
      <w:tblGrid>
        <w:gridCol w:w="2640"/>
        <w:gridCol w:w="2640"/>
        <w:gridCol w:w="2640"/>
      </w:tblGrid>
      <w:tr>
        <w:trPr>
          <w:tblHeader w:val="on"/>
        </w:trPr>
        <w:tc>
          <w:tcPr/>
          <w:p>
            <w:pPr>
              <w:pStyle w:val="Compact"/>
              <w:jc w:val="center"/>
            </w:pPr>
            <m:oMath>
              <m:sSub>
                <m:e>
                  <m:r>
                    <m:t>K</m:t>
                  </m:r>
                </m:e>
                <m:sub>
                  <m:r>
                    <m:t>p</m:t>
                  </m:r>
                </m:sub>
              </m:sSub>
            </m:oMath>
            <w:r>
              <w:t xml:space="preserve">-index</w:t>
            </w:r>
          </w:p>
        </w:tc>
        <w:tc>
          <w:tcPr/>
          <w:p>
            <w:pPr>
              <w:pStyle w:val="Compact"/>
              <w:jc w:val="center"/>
            </w:pPr>
            <w:r>
              <w:t xml:space="preserve">NOAA Space Weather Scale Geomagnetic Storm Level</w:t>
            </w:r>
          </w:p>
        </w:tc>
        <w:tc>
          <w:tcPr/>
          <w:p>
            <w:pPr>
              <w:pStyle w:val="Compact"/>
            </w:pPr>
          </w:p>
        </w:tc>
      </w:tr>
      <w:tr>
        <w:tc>
          <w:tcPr/>
          <w:p>
            <w:pPr>
              <w:pStyle w:val="Compact"/>
              <w:jc w:val="center"/>
            </w:pPr>
            <m:oMath>
              <m:r>
                <m:t>0</m:t>
              </m:r>
              <m:r>
                <m:rPr>
                  <m:sty m:val="p"/>
                </m:rPr>
                <m:t>≤</m:t>
              </m:r>
              <m:sSub>
                <m:e>
                  <m:r>
                    <m:t>K</m:t>
                  </m:r>
                </m:e>
                <m:sub>
                  <m:r>
                    <m:t>p</m:t>
                  </m:r>
                </m:sub>
              </m:sSub>
              <m:r>
                <m:rPr>
                  <m:sty m:val="p"/>
                </m:rPr>
                <m:t>&lt;</m:t>
              </m:r>
              <m:r>
                <m:t>5</m:t>
              </m:r>
            </m:oMath>
          </w:p>
        </w:tc>
        <w:tc>
          <w:tcPr/>
          <w:p>
            <w:pPr>
              <w:pStyle w:val="Compact"/>
              <w:jc w:val="center"/>
            </w:pPr>
            <w:r>
              <w:t xml:space="preserve">G0</w:t>
            </w:r>
          </w:p>
        </w:tc>
        <w:tc>
          <w:tcPr/>
          <w:p>
            <w:pPr>
              <w:pStyle w:val="Compact"/>
            </w:pPr>
          </w:p>
        </w:tc>
      </w:tr>
      <w:tr>
        <w:tc>
          <w:tcPr/>
          <w:p>
            <w:pPr>
              <w:pStyle w:val="Compact"/>
              <w:jc w:val="center"/>
            </w:pPr>
            <m:oMath>
              <m:sSub>
                <m:e>
                  <m:r>
                    <m:t>K</m:t>
                  </m:r>
                </m:e>
                <m:sub>
                  <m:r>
                    <m:t>p</m:t>
                  </m:r>
                </m:sub>
              </m:sSub>
              <m:r>
                <m:rPr>
                  <m:sty m:val="p"/>
                </m:rPr>
                <m:t>=</m:t>
              </m:r>
              <m:r>
                <m:t>5</m:t>
              </m:r>
            </m:oMath>
          </w:p>
        </w:tc>
        <w:tc>
          <w:tcPr/>
          <w:p>
            <w:pPr>
              <w:pStyle w:val="Compact"/>
              <w:jc w:val="center"/>
            </w:pPr>
            <w:r>
              <w:t xml:space="preserve">G1</w:t>
            </w:r>
          </w:p>
        </w:tc>
        <w:tc>
          <w:tcPr/>
          <w:p>
            <w:pPr>
              <w:pStyle w:val="Compact"/>
            </w:pPr>
          </w:p>
        </w:tc>
      </w:tr>
      <w:tr>
        <w:tc>
          <w:tcPr/>
          <w:p>
            <w:pPr>
              <w:pStyle w:val="Compact"/>
              <w:jc w:val="center"/>
            </w:pPr>
            <m:oMath>
              <m:sSub>
                <m:e>
                  <m:r>
                    <m:t>K</m:t>
                  </m:r>
                </m:e>
                <m:sub>
                  <m:r>
                    <m:t>p</m:t>
                  </m:r>
                </m:sub>
              </m:sSub>
              <m:r>
                <m:rPr>
                  <m:sty m:val="p"/>
                </m:rPr>
                <m:t>=</m:t>
              </m:r>
              <m:r>
                <m:t>6</m:t>
              </m:r>
            </m:oMath>
          </w:p>
        </w:tc>
        <w:tc>
          <w:tcPr/>
          <w:p>
            <w:pPr>
              <w:pStyle w:val="Compact"/>
              <w:jc w:val="center"/>
            </w:pPr>
            <w:r>
              <w:t xml:space="preserve">G2</w:t>
            </w:r>
          </w:p>
        </w:tc>
        <w:tc>
          <w:tcPr/>
          <w:p>
            <w:pPr>
              <w:pStyle w:val="Compact"/>
            </w:pPr>
          </w:p>
        </w:tc>
      </w:tr>
      <w:tr>
        <w:tc>
          <w:tcPr/>
          <w:p>
            <w:pPr>
              <w:pStyle w:val="Compact"/>
              <w:jc w:val="center"/>
            </w:pPr>
            <m:oMath>
              <m:sSub>
                <m:e>
                  <m:r>
                    <m:t>K</m:t>
                  </m:r>
                </m:e>
                <m:sub>
                  <m:r>
                    <m:t>p</m:t>
                  </m:r>
                </m:sub>
              </m:sSub>
              <m:r>
                <m:rPr>
                  <m:sty m:val="p"/>
                </m:rPr>
                <m:t>=</m:t>
              </m:r>
              <m:r>
                <m:t>7</m:t>
              </m:r>
            </m:oMath>
          </w:p>
        </w:tc>
        <w:tc>
          <w:tcPr/>
          <w:p>
            <w:pPr>
              <w:pStyle w:val="Compact"/>
              <w:jc w:val="center"/>
            </w:pPr>
            <w:r>
              <w:t xml:space="preserve">G3</w:t>
            </w:r>
          </w:p>
        </w:tc>
        <w:tc>
          <w:tcPr/>
          <w:p>
            <w:pPr>
              <w:pStyle w:val="Compact"/>
            </w:pPr>
          </w:p>
        </w:tc>
      </w:tr>
      <w:tr>
        <w:tc>
          <w:tcPr/>
          <w:p>
            <w:pPr>
              <w:pStyle w:val="Compact"/>
              <w:jc w:val="center"/>
            </w:pPr>
            <m:oMath>
              <m:sSub>
                <m:e>
                  <m:r>
                    <m:t>K</m:t>
                  </m:r>
                </m:e>
                <m:sub>
                  <m:r>
                    <m:t>p</m:t>
                  </m:r>
                </m:sub>
              </m:sSub>
              <m:r>
                <m:rPr>
                  <m:sty m:val="p"/>
                </m:rPr>
                <m:t>=</m:t>
              </m:r>
              <m:r>
                <m:t>8</m:t>
              </m:r>
              <m:r>
                <m:rPr>
                  <m:sty m:val="p"/>
                </m:rPr>
                <m:t>,</m:t>
              </m:r>
              <m:sSub>
                <m:e>
                  <m:r>
                    <m:t>9</m:t>
                  </m:r>
                </m:e>
                <m:sub>
                  <m:r>
                    <m:rPr>
                      <m:sty m:val="p"/>
                    </m:rPr>
                    <m:t>−</m:t>
                  </m:r>
                </m:sub>
              </m:sSub>
            </m:oMath>
          </w:p>
        </w:tc>
        <w:tc>
          <w:tcPr/>
          <w:p>
            <w:pPr>
              <w:pStyle w:val="Compact"/>
              <w:jc w:val="center"/>
            </w:pPr>
            <w:r>
              <w:t xml:space="preserve">G4</w:t>
            </w:r>
          </w:p>
        </w:tc>
        <w:tc>
          <w:tcPr/>
          <w:p>
            <w:pPr>
              <w:pStyle w:val="Compact"/>
            </w:pPr>
          </w:p>
        </w:tc>
      </w:tr>
      <w:tr>
        <w:tc>
          <w:tcPr/>
          <w:p>
            <w:pPr>
              <w:pStyle w:val="Compact"/>
              <w:jc w:val="center"/>
            </w:pPr>
            <m:oMath>
              <m:sSub>
                <m:e>
                  <m:r>
                    <m:t>K</m:t>
                  </m:r>
                </m:e>
                <m:sub>
                  <m:r>
                    <m:t>p</m:t>
                  </m:r>
                </m:sub>
              </m:sSub>
              <m:r>
                <m:rPr>
                  <m:sty m:val="p"/>
                </m:rPr>
                <m:t>=</m:t>
              </m:r>
              <m:r>
                <m:t>9</m:t>
              </m:r>
            </m:oMath>
          </w:p>
        </w:tc>
        <w:tc>
          <w:tcPr/>
          <w:p>
            <w:pPr>
              <w:pStyle w:val="Compact"/>
              <w:jc w:val="center"/>
            </w:pPr>
            <w:r>
              <w:t xml:space="preserve">G5</w:t>
            </w:r>
          </w:p>
        </w:tc>
        <w:tc>
          <w:tcPr/>
          <w:p>
            <w:pPr>
              <w:pStyle w:val="Compact"/>
            </w:pPr>
          </w:p>
        </w:tc>
      </w:tr>
    </w:tbl>
    <w:bookmarkEnd w:id="33"/>
    <w:bookmarkEnd w:id="34"/>
    <w:bookmarkStart w:id="37" w:name="Xb8fcfde66adf9b1f64b1d8d433177bfdd4c6e10"/>
    <w:p>
      <w:pPr>
        <w:pStyle w:val="Heading3"/>
      </w:pPr>
      <w:r>
        <w:t xml:space="preserve">Equivalent Three Hourly Range Geomagnetic Storm Indices</w:t>
      </w:r>
    </w:p>
    <w:p>
      <w:pPr>
        <w:pStyle w:val="FirstParagraph"/>
      </w:pPr>
      <w:r>
        <w:t xml:space="preserve">The</w:t>
      </w:r>
      <w:r>
        <w:t xml:space="preserve"> </w:t>
      </w:r>
      <m:oMath>
        <m:r>
          <m:t>A</m:t>
        </m:r>
      </m:oMath>
      <w:r>
        <w:t xml:space="preserve">-index citestuff(NOAA2024gGeomagneticIndices) represents a daily average level of magnetic activity. Because the relationship between the</w:t>
      </w:r>
      <w:r>
        <w:t xml:space="preserve"> </w:t>
      </w:r>
      <m:oMath>
        <m:r>
          <m:t>K</m:t>
        </m:r>
      </m:oMath>
      <w:r>
        <w:t xml:space="preserve">-index and magnetometer fluctuations is not linear, the</w:t>
      </w:r>
      <w:r>
        <w:t xml:space="preserve"> </w:t>
      </w:r>
      <m:oMath>
        <m:r>
          <m:t>K</m:t>
        </m:r>
      </m:oMath>
      <w:r>
        <w:t xml:space="preserve">-index values are not directly used for calculating average values. Each</w:t>
      </w:r>
      <w:r>
        <w:t xml:space="preserve"> </w:t>
      </w:r>
      <m:oMath>
        <m:r>
          <m:t>K</m:t>
        </m:r>
      </m:oMath>
      <w:r>
        <w:t xml:space="preserve">-index or</w:t>
      </w:r>
      <w:r>
        <w:t xml:space="preserve"> </w:t>
      </w:r>
      <m:oMath>
        <m:sSub>
          <m:e>
            <m:r>
              <m:t>K</m:t>
            </m:r>
          </m:e>
          <m:sub>
            <m:r>
              <m:t>p</m:t>
            </m:r>
          </m:sub>
        </m:sSub>
      </m:oMath>
      <w:r>
        <w:t xml:space="preserve">-index is converted into the "equivalent three hourly range"</w:t>
      </w:r>
      <w:r>
        <w:t xml:space="preserve"> </w:t>
      </w:r>
      <m:oMath>
        <m:r>
          <m:t>a</m:t>
        </m:r>
      </m:oMath>
      <w:r>
        <w:t xml:space="preserve">-index or</w:t>
      </w:r>
      <w:r>
        <w:t xml:space="preserve"> </w:t>
      </w:r>
      <m:oMath>
        <m:sSub>
          <m:e>
            <m:r>
              <m:t>a</m:t>
            </m:r>
          </m:e>
          <m:sub>
            <m:r>
              <m:t>p</m:t>
            </m:r>
          </m:sub>
        </m:sSub>
      </m:oMath>
      <w:r>
        <w:t xml:space="preserve">-index that uses a linear scale. Table </w:t>
      </w:r>
      <w:hyperlink w:anchor="tab:a">
        <w:r>
          <w:rPr>
            <w:rStyle w:val="Hyperlink"/>
          </w:rPr>
          <w:t xml:space="preserve">4</w:t>
        </w:r>
      </w:hyperlink>
      <w:r>
        <w:t xml:space="preserve"> </w:t>
      </w:r>
      <w:r>
        <w:t xml:space="preserve">illustrates the conversion between</w:t>
      </w:r>
      <w:r>
        <w:t xml:space="preserve"> </w:t>
      </w:r>
      <m:oMath>
        <m:r>
          <m:t>K</m:t>
        </m:r>
      </m:oMath>
      <w:r>
        <w:t xml:space="preserve">-index and</w:t>
      </w:r>
      <w:r>
        <w:t xml:space="preserve"> </w:t>
      </w:r>
      <m:oMath>
        <m:r>
          <m:t>a</m:t>
        </m:r>
      </m:oMath>
      <w:r>
        <w:t xml:space="preserve">-index values citestuff(NOAA2024bKindex). Table </w:t>
      </w:r>
      <w:hyperlink w:anchor="tab:ap">
        <w:r>
          <w:rPr>
            <w:rStyle w:val="Hyperlink"/>
          </w:rPr>
          <w:t xml:space="preserve">5</w:t>
        </w:r>
      </w:hyperlink>
      <w:r>
        <w:t xml:space="preserve"> </w:t>
      </w:r>
      <w:r>
        <w:t xml:space="preserve">illustrates the conversion between</w:t>
      </w:r>
      <w:r>
        <w:t xml:space="preserve"> </w:t>
      </w:r>
      <m:oMath>
        <m:sSub>
          <m:e>
            <m:r>
              <m:t>K</m:t>
            </m:r>
          </m:e>
          <m:sub>
            <m:r>
              <m:t>p</m:t>
            </m:r>
          </m:sub>
        </m:sSub>
      </m:oMath>
      <w:r>
        <w:t xml:space="preserve">-index and</w:t>
      </w:r>
      <w:r>
        <w:t xml:space="preserve"> </w:t>
      </w:r>
      <m:oMath>
        <m:sSub>
          <m:e>
            <m:r>
              <m:t>a</m:t>
            </m:r>
          </m:e>
          <m:sub>
            <m:r>
              <m:t>p</m:t>
            </m:r>
          </m:sub>
        </m:sSub>
      </m:oMath>
      <w:r>
        <w:t xml:space="preserve">-index values citestuff(NOAA2024gGeomagneticIndices). An average of</w:t>
      </w:r>
      <w:r>
        <w:t xml:space="preserve"> </w:t>
      </w:r>
      <m:oMath>
        <m:r>
          <m:t>8</m:t>
        </m:r>
      </m:oMath>
      <w:r>
        <w:t xml:space="preserve"> </w:t>
      </w:r>
      <m:oMath>
        <m:r>
          <m:t>a</m:t>
        </m:r>
      </m:oMath>
      <w:r>
        <w:t xml:space="preserve">-indices (lowercase) is used as the daily</w:t>
      </w:r>
      <w:r>
        <w:t xml:space="preserve"> </w:t>
      </w:r>
      <m:oMath>
        <m:r>
          <m:t>A</m:t>
        </m:r>
      </m:oMath>
      <w:r>
        <w:t xml:space="preserve">-index (uppercase). As an example, if</w:t>
      </w:r>
      <w:r>
        <w:t xml:space="preserve"> </w:t>
      </w:r>
      <m:oMath>
        <m:r>
          <m:t>8</m:t>
        </m:r>
      </m:oMath>
      <w:r>
        <w:t xml:space="preserve"> </w:t>
      </w:r>
      <m:oMath>
        <m:r>
          <m:t>K</m:t>
        </m:r>
      </m:oMath>
      <w:r>
        <w:t xml:space="preserve">-indices were</w:t>
      </w:r>
      <w:r>
        <w:t xml:space="preserve"> </w:t>
      </w:r>
      <m:oMath>
        <m:r>
          <m:t>3</m:t>
        </m:r>
      </m:oMath>
      <w:r>
        <w:t xml:space="preserve">,</w:t>
      </w:r>
      <w:r>
        <w:t xml:space="preserve"> </w:t>
      </w:r>
      <m:oMath>
        <m:r>
          <m:t>4</m:t>
        </m:r>
      </m:oMath>
      <w:r>
        <w:t xml:space="preserve">,</w:t>
      </w:r>
      <w:r>
        <w:t xml:space="preserve"> </w:t>
      </w:r>
      <m:oMath>
        <m:r>
          <m:t>6</m:t>
        </m:r>
      </m:oMath>
      <w:r>
        <w:t xml:space="preserve">,</w:t>
      </w:r>
      <w:r>
        <w:t xml:space="preserve"> </w:t>
      </w:r>
      <m:oMath>
        <m:r>
          <m:t>5</m:t>
        </m:r>
      </m:oMath>
      <w:r>
        <w:t xml:space="preserve">,</w:t>
      </w:r>
      <w:r>
        <w:t xml:space="preserve"> </w:t>
      </w:r>
      <m:oMath>
        <m:r>
          <m:t>3</m:t>
        </m:r>
      </m:oMath>
      <w:r>
        <w:t xml:space="preserve">,</w:t>
      </w:r>
      <w:r>
        <w:t xml:space="preserve"> </w:t>
      </w:r>
      <m:oMath>
        <m:r>
          <m:t>2</m:t>
        </m:r>
      </m:oMath>
      <w:r>
        <w:t xml:space="preserve">,</w:t>
      </w:r>
      <w:r>
        <w:t xml:space="preserve"> </w:t>
      </w:r>
      <m:oMath>
        <m:r>
          <m:t>2</m:t>
        </m:r>
      </m:oMath>
      <w:r>
        <w:t xml:space="preserve">, and</w:t>
      </w:r>
      <w:r>
        <w:t xml:space="preserve"> </w:t>
      </w:r>
      <m:oMath>
        <m:r>
          <m:t>1</m:t>
        </m:r>
      </m:oMath>
      <w:r>
        <w:t xml:space="preserve">, the</w:t>
      </w:r>
      <w:r>
        <w:t xml:space="preserve"> </w:t>
      </w:r>
      <m:oMath>
        <m:r>
          <m:t>a</m:t>
        </m:r>
      </m:oMath>
      <w:r>
        <w:t xml:space="preserve">-indices equal</w:t>
      </w:r>
      <w:r>
        <w:t xml:space="preserve"> </w:t>
      </w:r>
      <m:oMath>
        <m:r>
          <m:t>15</m:t>
        </m:r>
      </m:oMath>
      <w:r>
        <w:t xml:space="preserve">,</w:t>
      </w:r>
      <w:r>
        <w:t xml:space="preserve"> </w:t>
      </w:r>
      <m:oMath>
        <m:r>
          <m:t>27</m:t>
        </m:r>
      </m:oMath>
      <w:r>
        <w:t xml:space="preserve">,</w:t>
      </w:r>
      <w:r>
        <w:t xml:space="preserve"> </w:t>
      </w:r>
      <m:oMath>
        <m:r>
          <m:t>80</m:t>
        </m:r>
      </m:oMath>
      <w:r>
        <w:t xml:space="preserve">,</w:t>
      </w:r>
      <w:r>
        <w:t xml:space="preserve"> </w:t>
      </w:r>
      <m:oMath>
        <m:r>
          <m:t>48</m:t>
        </m:r>
      </m:oMath>
      <w:r>
        <w:t xml:space="preserve">,</w:t>
      </w:r>
      <w:r>
        <w:t xml:space="preserve"> </w:t>
      </w:r>
      <m:oMath>
        <m:r>
          <m:t>15</m:t>
        </m:r>
      </m:oMath>
      <w:r>
        <w:t xml:space="preserve">,</w:t>
      </w:r>
      <w:r>
        <w:t xml:space="preserve"> </w:t>
      </w:r>
      <m:oMath>
        <m:r>
          <m:t>7</m:t>
        </m:r>
      </m:oMath>
      <w:r>
        <w:t xml:space="preserve">,</w:t>
      </w:r>
      <w:r>
        <w:t xml:space="preserve"> </w:t>
      </w:r>
      <m:oMath>
        <m:r>
          <m:t>7</m:t>
        </m:r>
      </m:oMath>
      <w:r>
        <w:t xml:space="preserve">, and</w:t>
      </w:r>
      <w:r>
        <w:t xml:space="preserve"> </w:t>
      </w:r>
      <m:oMath>
        <m:r>
          <m:t>3</m:t>
        </m:r>
      </m:oMath>
      <w:r>
        <w:t xml:space="preserve">, and the</w:t>
      </w:r>
      <w:r>
        <w:t xml:space="preserve"> </w:t>
      </w:r>
      <m:oMath>
        <m:r>
          <m:t>A</m:t>
        </m:r>
      </m:oMath>
      <w:r>
        <w:t xml:space="preserve">-index equals</w:t>
      </w:r>
    </w:p>
    <w:p>
      <w:pPr>
        <w:pStyle w:val="BodyText"/>
      </w:pPr>
      <m:oMathPara>
        <m:oMathParaPr>
          <m:jc m:val="center"/>
        </m:oMathParaPr>
        <m:oMath>
          <m:r>
            <m:t>A</m:t>
          </m:r>
          <m:r>
            <m:rPr>
              <m:sty m:val="p"/>
            </m:rPr>
            <m:t>=</m:t>
          </m:r>
          <m:d>
            <m:dPr>
              <m:begChr m:val="("/>
              <m:endChr m:val=")"/>
              <m:sepChr m:val=""/>
              <m:grow/>
            </m:dPr>
            <m:e>
              <m:r>
                <m:t>15</m:t>
              </m:r>
              <m:r>
                <m:rPr>
                  <m:sty m:val="p"/>
                </m:rPr>
                <m:t>+</m:t>
              </m:r>
              <m:r>
                <m:t>27</m:t>
              </m:r>
              <m:r>
                <m:rPr>
                  <m:sty m:val="p"/>
                </m:rPr>
                <m:t>+</m:t>
              </m:r>
              <m:r>
                <m:t>80</m:t>
              </m:r>
              <m:r>
                <m:rPr>
                  <m:sty m:val="p"/>
                </m:rPr>
                <m:t>+</m:t>
              </m:r>
              <m:r>
                <m:t>48</m:t>
              </m:r>
              <m:r>
                <m:rPr>
                  <m:sty m:val="p"/>
                </m:rPr>
                <m:t>+</m:t>
              </m:r>
              <m:r>
                <m:t>15</m:t>
              </m:r>
              <m:r>
                <m:rPr>
                  <m:sty m:val="p"/>
                </m:rPr>
                <m:t>+</m:t>
              </m:r>
              <m:r>
                <m:t>7</m:t>
              </m:r>
              <m:r>
                <m:rPr>
                  <m:sty m:val="p"/>
                </m:rPr>
                <m:t>+</m:t>
              </m:r>
              <m:r>
                <m:t>7</m:t>
              </m:r>
              <m:r>
                <m:rPr>
                  <m:sty m:val="p"/>
                </m:rPr>
                <m:t>+</m:t>
              </m:r>
              <m:r>
                <m:t>3</m:t>
              </m:r>
            </m:e>
          </m:d>
          <m:r>
            <m:rPr>
              <m:sty m:val="p"/>
            </m:rPr>
            <m:t>/</m:t>
          </m:r>
          <m:r>
            <m:t>8</m:t>
          </m:r>
          <m:r>
            <m:rPr>
              <m:sty m:val="p"/>
            </m:rPr>
            <m:t>=</m:t>
          </m:r>
          <m:r>
            <m:t>202</m:t>
          </m:r>
          <m:r>
            <m:rPr>
              <m:sty m:val="p"/>
            </m:rPr>
            <m:t>/</m:t>
          </m:r>
          <m:r>
            <m:t>8</m:t>
          </m:r>
          <m:r>
            <m:rPr>
              <m:sty m:val="p"/>
            </m:rPr>
            <m:t>=</m:t>
          </m:r>
          <m:r>
            <m:t>25.25</m:t>
          </m:r>
        </m:oMath>
      </m:oMathPara>
    </w:p>
    <w:p>
      <w:pPr>
        <w:pStyle w:val="FirstParagraph"/>
      </w:pPr>
      <w:r>
        <w:t xml:space="preserve">.</w:t>
      </w:r>
    </w:p>
    <w:bookmarkStart w:id="35" w:name="tab:a"/>
    <w:p>
      <w:pPr>
        <w:pStyle w:val="TableCaption"/>
      </w:pPr>
      <w:r>
        <w:t xml:space="preserve">The</w:t>
      </w:r>
      <w:r>
        <w:t xml:space="preserve"> </w:t>
      </w:r>
      <m:oMath>
        <m:r>
          <m:t>a</m:t>
        </m:r>
      </m:oMath>
      <w:r>
        <w:t xml:space="preserve">-index values for each</w:t>
      </w:r>
      <w:r>
        <w:t xml:space="preserve"> </w:t>
      </w:r>
      <m:oMath>
        <m:r>
          <m:t>K</m:t>
        </m:r>
      </m:oMath>
      <w:r>
        <w:t xml:space="preserve">-index, from citestuff(NOAA2024bKindex).</w:t>
      </w:r>
    </w:p>
    <w:tbl>
      <w:tblPr>
        <w:tblStyle w:val="Table"/>
        <w:tblW w:type="auto" w:w="0"/>
        <w:tblLook w:firstRow="1" w:lastRow="0" w:firstColumn="0" w:lastColumn="0" w:noHBand="0" w:noVBand="0" w:val="0020"/>
        <w:tblCaption w:val="The a-index values for each K-index, from citestuff(NOAA2024bKindex)."/>
      </w:tblPr>
      <w:tblGrid>
        <w:gridCol w:w="720"/>
        <w:gridCol w:w="720"/>
        <w:gridCol w:w="720"/>
        <w:gridCol w:w="720"/>
        <w:gridCol w:w="720"/>
        <w:gridCol w:w="720"/>
        <w:gridCol w:w="720"/>
        <w:gridCol w:w="720"/>
        <w:gridCol w:w="720"/>
        <w:gridCol w:w="720"/>
        <w:gridCol w:w="720"/>
      </w:tblGrid>
      <w:tr>
        <w:trPr>
          <w:tblHeader w:val="on"/>
        </w:trPr>
        <w:tc>
          <w:tcPr/>
          <w:p>
            <w:pPr>
              <w:pStyle w:val="Compact"/>
              <w:jc w:val="center"/>
            </w:pPr>
            <m:oMath>
              <m:r>
                <m:t>K</m:t>
              </m:r>
            </m:oMath>
          </w:p>
        </w:tc>
        <w:tc>
          <w:tcPr/>
          <w:p>
            <w:pPr>
              <w:pStyle w:val="Compact"/>
              <w:jc w:val="center"/>
            </w:pPr>
            <m:oMath>
              <m:r>
                <m:t>0</m:t>
              </m:r>
            </m:oMath>
          </w:p>
        </w:tc>
        <w:tc>
          <w:tcPr/>
          <w:p>
            <w:pPr>
              <w:pStyle w:val="Compact"/>
              <w:jc w:val="center"/>
            </w:pPr>
            <m:oMath>
              <m:r>
                <m:t>1</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8</m:t>
              </m:r>
            </m:oMath>
          </w:p>
        </w:tc>
        <w:tc>
          <w:tcPr/>
          <w:p>
            <w:pPr>
              <w:pStyle w:val="Compact"/>
              <w:jc w:val="center"/>
            </w:pPr>
            <m:oMath>
              <m:r>
                <m:t>9</m:t>
              </m:r>
            </m:oMath>
          </w:p>
        </w:tc>
      </w:tr>
      <w:tr>
        <w:tc>
          <w:tcPr/>
          <w:p>
            <w:pPr>
              <w:pStyle w:val="Compact"/>
              <w:jc w:val="center"/>
            </w:pPr>
            <m:oMath>
              <m:r>
                <m:t>a</m:t>
              </m:r>
            </m:oMath>
          </w:p>
        </w:tc>
        <w:tc>
          <w:tcPr/>
          <w:p>
            <w:pPr>
              <w:pStyle w:val="Compact"/>
              <w:jc w:val="center"/>
            </w:pPr>
            <m:oMath>
              <m:r>
                <m:t>0</m:t>
              </m:r>
            </m:oMath>
          </w:p>
        </w:tc>
        <w:tc>
          <w:tcPr/>
          <w:p>
            <w:pPr>
              <w:pStyle w:val="Compact"/>
              <w:jc w:val="center"/>
            </w:pPr>
            <m:oMath>
              <m:r>
                <m:t>3</m:t>
              </m:r>
            </m:oMath>
          </w:p>
        </w:tc>
        <w:tc>
          <w:tcPr/>
          <w:p>
            <w:pPr>
              <w:pStyle w:val="Compact"/>
              <w:jc w:val="center"/>
            </w:pPr>
            <m:oMath>
              <m:r>
                <m:t>7</m:t>
              </m:r>
            </m:oMath>
          </w:p>
        </w:tc>
        <w:tc>
          <w:tcPr/>
          <w:p>
            <w:pPr>
              <w:pStyle w:val="Compact"/>
              <w:jc w:val="center"/>
            </w:pPr>
            <m:oMath>
              <m:r>
                <m:t>15</m:t>
              </m:r>
            </m:oMath>
          </w:p>
        </w:tc>
        <w:tc>
          <w:tcPr/>
          <w:p>
            <w:pPr>
              <w:pStyle w:val="Compact"/>
              <w:jc w:val="center"/>
            </w:pPr>
            <m:oMath>
              <m:r>
                <m:t>27</m:t>
              </m:r>
            </m:oMath>
          </w:p>
        </w:tc>
        <w:tc>
          <w:tcPr/>
          <w:p>
            <w:pPr>
              <w:pStyle w:val="Compact"/>
              <w:jc w:val="center"/>
            </w:pPr>
            <m:oMath>
              <m:r>
                <m:t>48</m:t>
              </m:r>
            </m:oMath>
          </w:p>
        </w:tc>
        <w:tc>
          <w:tcPr/>
          <w:p>
            <w:pPr>
              <w:pStyle w:val="Compact"/>
              <w:jc w:val="center"/>
            </w:pPr>
            <m:oMath>
              <m:r>
                <m:t>80</m:t>
              </m:r>
            </m:oMath>
          </w:p>
        </w:tc>
        <w:tc>
          <w:tcPr/>
          <w:p>
            <w:pPr>
              <w:pStyle w:val="Compact"/>
              <w:jc w:val="center"/>
            </w:pPr>
            <m:oMath>
              <m:r>
                <m:t>140</m:t>
              </m:r>
            </m:oMath>
          </w:p>
        </w:tc>
        <w:tc>
          <w:tcPr/>
          <w:p>
            <w:pPr>
              <w:pStyle w:val="Compact"/>
              <w:jc w:val="center"/>
            </w:pPr>
            <m:oMath>
              <m:r>
                <m:t>240</m:t>
              </m:r>
            </m:oMath>
          </w:p>
        </w:tc>
        <w:tc>
          <w:tcPr/>
          <w:p>
            <w:pPr>
              <w:pStyle w:val="Compact"/>
              <w:jc w:val="center"/>
            </w:pPr>
            <m:oMath>
              <m:r>
                <m:t>400</m:t>
              </m:r>
            </m:oMath>
          </w:p>
        </w:tc>
      </w:tr>
    </w:tbl>
    <w:bookmarkEnd w:id="35"/>
    <w:bookmarkStart w:id="36" w:name="tab:ap"/>
    <w:p>
      <w:pPr>
        <w:pStyle w:val="TableCaption"/>
      </w:pPr>
      <w:r>
        <w:t xml:space="preserve">The</w:t>
      </w:r>
      <w:r>
        <w:t xml:space="preserve"> </w:t>
      </w:r>
      <m:oMath>
        <m:sSub>
          <m:e>
            <m:r>
              <m:t>a</m:t>
            </m:r>
          </m:e>
          <m:sub>
            <m:r>
              <m:t>p</m:t>
            </m:r>
          </m:sub>
        </m:sSub>
      </m:oMath>
      <w:r>
        <w:t xml:space="preserve">-index values for each</w:t>
      </w:r>
      <w:r>
        <w:t xml:space="preserve"> </w:t>
      </w:r>
      <m:oMath>
        <m:sSub>
          <m:e>
            <m:r>
              <m:t>K</m:t>
            </m:r>
          </m:e>
          <m:sub>
            <m:r>
              <m:t>p</m:t>
            </m:r>
          </m:sub>
        </m:sSub>
      </m:oMath>
      <w:r>
        <w:t xml:space="preserve">-index, from citestuff(NOAA2024gGeomagneticIndices).</w:t>
      </w:r>
    </w:p>
    <w:tbl>
      <w:tblPr>
        <w:tblStyle w:val="Table"/>
        <w:tblW w:type="auto" w:w="0"/>
        <w:tblLook w:firstRow="1" w:lastRow="0" w:firstColumn="0" w:lastColumn="0" w:noHBand="0" w:noVBand="0" w:val="0020"/>
        <w:tblCaption w:val="The a_{p}-index values for each K_{p}-index, from citestuff(NOAA2024gGeomagneticIndices)."/>
      </w:tblPr>
      <w:tblGrid>
        <w:gridCol w:w="528"/>
        <w:gridCol w:w="528"/>
        <w:gridCol w:w="528"/>
        <w:gridCol w:w="528"/>
        <w:gridCol w:w="528"/>
        <w:gridCol w:w="528"/>
        <w:gridCol w:w="528"/>
        <w:gridCol w:w="528"/>
        <w:gridCol w:w="528"/>
        <w:gridCol w:w="528"/>
        <w:gridCol w:w="528"/>
        <w:gridCol w:w="528"/>
        <w:gridCol w:w="528"/>
        <w:gridCol w:w="528"/>
        <w:gridCol w:w="528"/>
      </w:tblGrid>
      <w:tr>
        <w:trPr>
          <w:tblHeader w:val="on"/>
        </w:trPr>
        <w:tc>
          <w:tcPr/>
          <w:p>
            <w:pPr>
              <w:pStyle w:val="Compact"/>
              <w:jc w:val="center"/>
            </w:pPr>
            <m:oMath>
              <m:sSub>
                <m:e>
                  <m:r>
                    <m:t>K</m:t>
                  </m:r>
                </m:e>
                <m:sub>
                  <m:r>
                    <m:t>p</m:t>
                  </m:r>
                </m:sub>
              </m:sSub>
            </m:oMath>
          </w:p>
        </w:tc>
        <w:tc>
          <w:tcPr/>
          <w:p>
            <w:pPr>
              <w:pStyle w:val="Compact"/>
              <w:jc w:val="center"/>
            </w:pPr>
            <m:oMath>
              <m:sSub>
                <m:e>
                  <m:r>
                    <m:t>0</m:t>
                  </m:r>
                </m:e>
                <m:sub>
                  <m:r>
                    <m:t>o</m:t>
                  </m:r>
                </m:sub>
              </m:sSub>
            </m:oMath>
          </w:p>
        </w:tc>
        <w:tc>
          <w:tcPr/>
          <w:p>
            <w:pPr>
              <w:pStyle w:val="Compact"/>
              <w:jc w:val="center"/>
            </w:pPr>
            <m:oMath>
              <m:sSub>
                <m:e>
                  <m:r>
                    <m:t>0</m:t>
                  </m:r>
                </m:e>
                <m:sub>
                  <m:r>
                    <m:rPr>
                      <m:sty m:val="p"/>
                    </m:rPr>
                    <m:t>+</m:t>
                  </m:r>
                </m:sub>
              </m:sSub>
            </m:oMath>
          </w:p>
        </w:tc>
        <w:tc>
          <w:tcPr/>
          <w:p>
            <w:pPr>
              <w:pStyle w:val="Compact"/>
              <w:jc w:val="center"/>
            </w:pPr>
            <m:oMath>
              <m:sSub>
                <m:e>
                  <m:r>
                    <m:t>1</m:t>
                  </m:r>
                </m:e>
                <m:sub>
                  <m:r>
                    <m:rPr>
                      <m:sty m:val="p"/>
                    </m:rPr>
                    <m:t>−</m:t>
                  </m:r>
                </m:sub>
              </m:sSub>
            </m:oMath>
          </w:p>
        </w:tc>
        <w:tc>
          <w:tcPr/>
          <w:p>
            <w:pPr>
              <w:pStyle w:val="Compact"/>
              <w:jc w:val="center"/>
            </w:pPr>
            <m:oMath>
              <m:sSub>
                <m:e>
                  <m:r>
                    <m:t>1</m:t>
                  </m:r>
                </m:e>
                <m:sub>
                  <m:r>
                    <m:t>o</m:t>
                  </m:r>
                </m:sub>
              </m:sSub>
            </m:oMath>
          </w:p>
        </w:tc>
        <w:tc>
          <w:tcPr/>
          <w:p>
            <w:pPr>
              <w:pStyle w:val="Compact"/>
              <w:jc w:val="center"/>
            </w:pPr>
            <m:oMath>
              <m:sSub>
                <m:e>
                  <m:r>
                    <m:t>1</m:t>
                  </m:r>
                </m:e>
                <m:sub>
                  <m:r>
                    <m:rPr>
                      <m:sty m:val="p"/>
                    </m:rPr>
                    <m:t>+</m:t>
                  </m:r>
                </m:sub>
              </m:sSub>
            </m:oMath>
          </w:p>
        </w:tc>
        <w:tc>
          <w:tcPr/>
          <w:p>
            <w:pPr>
              <w:pStyle w:val="Compact"/>
              <w:jc w:val="center"/>
            </w:pPr>
            <m:oMath>
              <m:sSub>
                <m:e>
                  <m:r>
                    <m:t>2</m:t>
                  </m:r>
                </m:e>
                <m:sub>
                  <m:r>
                    <m:rPr>
                      <m:sty m:val="p"/>
                    </m:rPr>
                    <m:t>−</m:t>
                  </m:r>
                </m:sub>
              </m:sSub>
            </m:oMath>
          </w:p>
        </w:tc>
        <w:tc>
          <w:tcPr/>
          <w:p>
            <w:pPr>
              <w:pStyle w:val="Compact"/>
              <w:jc w:val="center"/>
            </w:pPr>
            <m:oMath>
              <m:sSub>
                <m:e>
                  <m:r>
                    <m:t>2</m:t>
                  </m:r>
                </m:e>
                <m:sub>
                  <m:r>
                    <m:t>o</m:t>
                  </m:r>
                </m:sub>
              </m:sSub>
            </m:oMath>
          </w:p>
        </w:tc>
        <w:tc>
          <w:tcPr/>
          <w:p>
            <w:pPr>
              <w:pStyle w:val="Compact"/>
              <w:jc w:val="center"/>
            </w:pPr>
            <m:oMath>
              <m:sSub>
                <m:e>
                  <m:r>
                    <m:t>2</m:t>
                  </m:r>
                </m:e>
                <m:sub>
                  <m:r>
                    <m:rPr>
                      <m:sty m:val="p"/>
                    </m:rPr>
                    <m:t>+</m:t>
                  </m:r>
                </m:sub>
              </m:sSub>
            </m:oMath>
          </w:p>
        </w:tc>
        <w:tc>
          <w:tcPr/>
          <w:p>
            <w:pPr>
              <w:pStyle w:val="Compact"/>
              <w:jc w:val="center"/>
            </w:pPr>
            <m:oMath>
              <m:sSub>
                <m:e>
                  <m:r>
                    <m:t>3</m:t>
                  </m:r>
                </m:e>
                <m:sub>
                  <m:r>
                    <m:rPr>
                      <m:sty m:val="p"/>
                    </m:rPr>
                    <m:t>−</m:t>
                  </m:r>
                </m:sub>
              </m:sSub>
            </m:oMath>
          </w:p>
        </w:tc>
        <w:tc>
          <w:tcPr/>
          <w:p>
            <w:pPr>
              <w:pStyle w:val="Compact"/>
              <w:jc w:val="center"/>
            </w:pPr>
            <m:oMath>
              <m:sSub>
                <m:e>
                  <m:r>
                    <m:t>3</m:t>
                  </m:r>
                </m:e>
                <m:sub>
                  <m:r>
                    <m:t>o</m:t>
                  </m:r>
                </m:sub>
              </m:sSub>
            </m:oMath>
          </w:p>
        </w:tc>
        <w:tc>
          <w:tcPr/>
          <w:p>
            <w:pPr>
              <w:pStyle w:val="Compact"/>
              <w:jc w:val="center"/>
            </w:pPr>
            <m:oMath>
              <m:sSub>
                <m:e>
                  <m:r>
                    <m:t>3</m:t>
                  </m:r>
                </m:e>
                <m:sub>
                  <m:r>
                    <m:rPr>
                      <m:sty m:val="p"/>
                    </m:rPr>
                    <m:t>+</m:t>
                  </m:r>
                </m:sub>
              </m:sSub>
            </m:oMath>
          </w:p>
        </w:tc>
        <w:tc>
          <w:tcPr/>
          <w:p>
            <w:pPr>
              <w:pStyle w:val="Compact"/>
              <w:jc w:val="center"/>
            </w:pPr>
            <m:oMath>
              <m:sSub>
                <m:e>
                  <m:r>
                    <m:t>4</m:t>
                  </m:r>
                </m:e>
                <m:sub>
                  <m:r>
                    <m:rPr>
                      <m:sty m:val="p"/>
                    </m:rPr>
                    <m:t>−</m:t>
                  </m:r>
                </m:sub>
              </m:sSub>
            </m:oMath>
          </w:p>
        </w:tc>
        <w:tc>
          <w:tcPr/>
          <w:p>
            <w:pPr>
              <w:pStyle w:val="Compact"/>
              <w:jc w:val="center"/>
            </w:pPr>
            <m:oMath>
              <m:sSub>
                <m:e>
                  <m:r>
                    <m:t>4</m:t>
                  </m:r>
                </m:e>
                <m:sub>
                  <m:r>
                    <m:t>o</m:t>
                  </m:r>
                </m:sub>
              </m:sSub>
            </m:oMath>
          </w:p>
        </w:tc>
        <w:tc>
          <w:tcPr/>
          <w:p>
            <w:pPr>
              <w:pStyle w:val="Compact"/>
              <w:jc w:val="center"/>
            </w:pPr>
            <m:oMath>
              <m:sSub>
                <m:e>
                  <m:r>
                    <m:t>4</m:t>
                  </m:r>
                </m:e>
                <m:sub>
                  <m:r>
                    <m:rPr>
                      <m:sty m:val="p"/>
                    </m:rPr>
                    <m:t>+</m:t>
                  </m:r>
                </m:sub>
              </m:sSub>
            </m:oMath>
          </w:p>
        </w:tc>
      </w:tr>
      <w:tr>
        <w:tc>
          <w:tcPr/>
          <w:p>
            <w:pPr>
              <w:pStyle w:val="Compact"/>
              <w:jc w:val="center"/>
            </w:pPr>
            <m:oMath>
              <m:sSub>
                <m:e>
                  <m:r>
                    <m:t>a</m:t>
                  </m:r>
                </m:e>
                <m:sub>
                  <m:r>
                    <m:t>p</m:t>
                  </m:r>
                </m:sub>
              </m:sSub>
            </m:oMath>
          </w:p>
        </w:tc>
        <w:tc>
          <w:tcPr/>
          <w:p>
            <w:pPr>
              <w:pStyle w:val="Compact"/>
              <w:jc w:val="center"/>
            </w:pPr>
            <m:oMath>
              <m:r>
                <m:t>0</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9</m:t>
              </m:r>
            </m:oMath>
          </w:p>
        </w:tc>
        <w:tc>
          <w:tcPr/>
          <w:p>
            <w:pPr>
              <w:pStyle w:val="Compact"/>
              <w:jc w:val="center"/>
            </w:pPr>
            <m:oMath>
              <m:r>
                <m:t>12</m:t>
              </m:r>
            </m:oMath>
          </w:p>
        </w:tc>
        <w:tc>
          <w:tcPr/>
          <w:p>
            <w:pPr>
              <w:pStyle w:val="Compact"/>
              <w:jc w:val="center"/>
            </w:pPr>
            <m:oMath>
              <m:r>
                <m:t>15</m:t>
              </m:r>
            </m:oMath>
          </w:p>
        </w:tc>
        <w:tc>
          <w:tcPr/>
          <w:p>
            <w:pPr>
              <w:pStyle w:val="Compact"/>
              <w:jc w:val="center"/>
            </w:pPr>
            <m:oMath>
              <m:r>
                <m:t>18</m:t>
              </m:r>
            </m:oMath>
          </w:p>
        </w:tc>
        <w:tc>
          <w:tcPr/>
          <w:p>
            <w:pPr>
              <w:pStyle w:val="Compact"/>
              <w:jc w:val="center"/>
            </w:pPr>
            <m:oMath>
              <m:r>
                <m:t>22</m:t>
              </m:r>
            </m:oMath>
          </w:p>
        </w:tc>
        <w:tc>
          <w:tcPr/>
          <w:p>
            <w:pPr>
              <w:pStyle w:val="Compact"/>
              <w:jc w:val="center"/>
            </w:pPr>
            <m:oMath>
              <m:r>
                <m:t>27</m:t>
              </m:r>
            </m:oMath>
          </w:p>
        </w:tc>
        <w:tc>
          <w:tcPr/>
          <w:p>
            <w:pPr>
              <w:pStyle w:val="Compact"/>
              <w:jc w:val="center"/>
            </w:pPr>
            <m:oMath>
              <m:r>
                <m:t>32</m:t>
              </m:r>
            </m:oMath>
          </w:p>
        </w:tc>
      </w:tr>
      <w:tr>
        <w:tc>
          <w:tcPr/>
          <w:p>
            <w:pPr>
              <w:pStyle w:val="Compact"/>
              <w:jc w:val="center"/>
            </w:pPr>
            <m:oMath>
              <m:sSub>
                <m:e>
                  <m:r>
                    <m:t>K</m:t>
                  </m:r>
                </m:e>
                <m:sub>
                  <m:r>
                    <m:t>p</m:t>
                  </m:r>
                </m:sub>
              </m:sSub>
            </m:oMath>
          </w:p>
        </w:tc>
        <w:tc>
          <w:tcPr/>
          <w:p>
            <w:pPr>
              <w:pStyle w:val="Compact"/>
              <w:jc w:val="center"/>
            </w:pPr>
            <m:oMath>
              <m:sSub>
                <m:e>
                  <m:r>
                    <m:t>5</m:t>
                  </m:r>
                </m:e>
                <m:sub>
                  <m:r>
                    <m:rPr>
                      <m:sty m:val="p"/>
                    </m:rPr>
                    <m:t>−</m:t>
                  </m:r>
                </m:sub>
              </m:sSub>
            </m:oMath>
          </w:p>
        </w:tc>
        <w:tc>
          <w:tcPr/>
          <w:p>
            <w:pPr>
              <w:pStyle w:val="Compact"/>
              <w:jc w:val="center"/>
            </w:pPr>
            <m:oMath>
              <m:sSub>
                <m:e>
                  <m:r>
                    <m:t>5</m:t>
                  </m:r>
                </m:e>
                <m:sub>
                  <m:r>
                    <m:t>o</m:t>
                  </m:r>
                </m:sub>
              </m:sSub>
            </m:oMath>
          </w:p>
        </w:tc>
        <w:tc>
          <w:tcPr/>
          <w:p>
            <w:pPr>
              <w:pStyle w:val="Compact"/>
              <w:jc w:val="center"/>
            </w:pPr>
            <m:oMath>
              <m:sSub>
                <m:e>
                  <m:r>
                    <m:t>5</m:t>
                  </m:r>
                </m:e>
                <m:sub>
                  <m:r>
                    <m:rPr>
                      <m:sty m:val="p"/>
                    </m:rPr>
                    <m:t>+</m:t>
                  </m:r>
                </m:sub>
              </m:sSub>
            </m:oMath>
          </w:p>
        </w:tc>
        <w:tc>
          <w:tcPr/>
          <w:p>
            <w:pPr>
              <w:pStyle w:val="Compact"/>
              <w:jc w:val="center"/>
            </w:pPr>
            <m:oMath>
              <m:sSub>
                <m:e>
                  <m:r>
                    <m:t>6</m:t>
                  </m:r>
                </m:e>
                <m:sub>
                  <m:r>
                    <m:rPr>
                      <m:sty m:val="p"/>
                    </m:rPr>
                    <m:t>−</m:t>
                  </m:r>
                </m:sub>
              </m:sSub>
            </m:oMath>
          </w:p>
        </w:tc>
        <w:tc>
          <w:tcPr/>
          <w:p>
            <w:pPr>
              <w:pStyle w:val="Compact"/>
              <w:jc w:val="center"/>
            </w:pPr>
            <m:oMath>
              <m:sSub>
                <m:e>
                  <m:r>
                    <m:t>6</m:t>
                  </m:r>
                </m:e>
                <m:sub>
                  <m:r>
                    <m:t>o</m:t>
                  </m:r>
                </m:sub>
              </m:sSub>
            </m:oMath>
          </w:p>
        </w:tc>
        <w:tc>
          <w:tcPr/>
          <w:p>
            <w:pPr>
              <w:pStyle w:val="Compact"/>
              <w:jc w:val="center"/>
            </w:pPr>
            <m:oMath>
              <m:sSub>
                <m:e>
                  <m:r>
                    <m:t>6</m:t>
                  </m:r>
                </m:e>
                <m:sub>
                  <m:r>
                    <m:rPr>
                      <m:sty m:val="p"/>
                    </m:rPr>
                    <m:t>+</m:t>
                  </m:r>
                </m:sub>
              </m:sSub>
            </m:oMath>
          </w:p>
        </w:tc>
        <w:tc>
          <w:tcPr/>
          <w:p>
            <w:pPr>
              <w:pStyle w:val="Compact"/>
              <w:jc w:val="center"/>
            </w:pPr>
            <m:oMath>
              <m:sSub>
                <m:e>
                  <m:r>
                    <m:t>7</m:t>
                  </m:r>
                </m:e>
                <m:sub>
                  <m:r>
                    <m:rPr>
                      <m:sty m:val="p"/>
                    </m:rPr>
                    <m:t>−</m:t>
                  </m:r>
                </m:sub>
              </m:sSub>
            </m:oMath>
          </w:p>
        </w:tc>
        <w:tc>
          <w:tcPr/>
          <w:p>
            <w:pPr>
              <w:pStyle w:val="Compact"/>
              <w:jc w:val="center"/>
            </w:pPr>
            <m:oMath>
              <m:sSub>
                <m:e>
                  <m:r>
                    <m:t>7</m:t>
                  </m:r>
                </m:e>
                <m:sub>
                  <m:r>
                    <m:t>o</m:t>
                  </m:r>
                </m:sub>
              </m:sSub>
            </m:oMath>
          </w:p>
        </w:tc>
        <w:tc>
          <w:tcPr/>
          <w:p>
            <w:pPr>
              <w:pStyle w:val="Compact"/>
              <w:jc w:val="center"/>
            </w:pPr>
            <m:oMath>
              <m:sSub>
                <m:e>
                  <m:r>
                    <m:t>7</m:t>
                  </m:r>
                </m:e>
                <m:sub>
                  <m:r>
                    <m:rPr>
                      <m:sty m:val="p"/>
                    </m:rPr>
                    <m:t>+</m:t>
                  </m:r>
                </m:sub>
              </m:sSub>
            </m:oMath>
          </w:p>
        </w:tc>
        <w:tc>
          <w:tcPr/>
          <w:p>
            <w:pPr>
              <w:pStyle w:val="Compact"/>
              <w:jc w:val="center"/>
            </w:pPr>
            <m:oMath>
              <m:sSub>
                <m:e>
                  <m:r>
                    <m:t>8</m:t>
                  </m:r>
                </m:e>
                <m:sub>
                  <m:r>
                    <m:rPr>
                      <m:sty m:val="p"/>
                    </m:rPr>
                    <m:t>−</m:t>
                  </m:r>
                </m:sub>
              </m:sSub>
            </m:oMath>
          </w:p>
        </w:tc>
        <w:tc>
          <w:tcPr/>
          <w:p>
            <w:pPr>
              <w:pStyle w:val="Compact"/>
              <w:jc w:val="center"/>
            </w:pPr>
            <m:oMath>
              <m:sSub>
                <m:e>
                  <m:r>
                    <m:t>8</m:t>
                  </m:r>
                </m:e>
                <m:sub>
                  <m:r>
                    <m:t>o</m:t>
                  </m:r>
                </m:sub>
              </m:sSub>
            </m:oMath>
          </w:p>
        </w:tc>
        <w:tc>
          <w:tcPr/>
          <w:p>
            <w:pPr>
              <w:pStyle w:val="Compact"/>
              <w:jc w:val="center"/>
            </w:pPr>
            <m:oMath>
              <m:sSub>
                <m:e>
                  <m:r>
                    <m:t>8</m:t>
                  </m:r>
                </m:e>
                <m:sub>
                  <m:r>
                    <m:rPr>
                      <m:sty m:val="p"/>
                    </m:rPr>
                    <m:t>+</m:t>
                  </m:r>
                </m:sub>
              </m:sSub>
            </m:oMath>
          </w:p>
        </w:tc>
        <w:tc>
          <w:tcPr/>
          <w:p>
            <w:pPr>
              <w:pStyle w:val="Compact"/>
              <w:jc w:val="center"/>
            </w:pPr>
            <m:oMath>
              <m:sSub>
                <m:e>
                  <m:r>
                    <m:t>9</m:t>
                  </m:r>
                </m:e>
                <m:sub>
                  <m:r>
                    <m:rPr>
                      <m:sty m:val="p"/>
                    </m:rPr>
                    <m:t>−</m:t>
                  </m:r>
                </m:sub>
              </m:sSub>
            </m:oMath>
          </w:p>
        </w:tc>
        <w:tc>
          <w:tcPr/>
          <w:p>
            <w:pPr>
              <w:pStyle w:val="Compact"/>
              <w:jc w:val="center"/>
            </w:pPr>
            <m:oMath>
              <m:sSub>
                <m:e>
                  <m:r>
                    <m:t>9</m:t>
                  </m:r>
                </m:e>
                <m:sub>
                  <m:r>
                    <m:t>o</m:t>
                  </m:r>
                </m:sub>
              </m:sSub>
            </m:oMath>
          </w:p>
        </w:tc>
      </w:tr>
      <w:tr>
        <w:tc>
          <w:tcPr/>
          <w:p>
            <w:pPr>
              <w:pStyle w:val="Compact"/>
              <w:jc w:val="center"/>
            </w:pPr>
            <m:oMath>
              <m:sSub>
                <m:e>
                  <m:r>
                    <m:t>a</m:t>
                  </m:r>
                </m:e>
                <m:sub>
                  <m:r>
                    <m:t>p</m:t>
                  </m:r>
                </m:sub>
              </m:sSub>
            </m:oMath>
          </w:p>
        </w:tc>
        <w:tc>
          <w:tcPr/>
          <w:p>
            <w:pPr>
              <w:pStyle w:val="Compact"/>
              <w:jc w:val="center"/>
            </w:pPr>
            <m:oMath>
              <m:r>
                <m:t>39</m:t>
              </m:r>
            </m:oMath>
          </w:p>
        </w:tc>
        <w:tc>
          <w:tcPr/>
          <w:p>
            <w:pPr>
              <w:pStyle w:val="Compact"/>
              <w:jc w:val="center"/>
            </w:pPr>
            <m:oMath>
              <m:r>
                <m:t>48</m:t>
              </m:r>
            </m:oMath>
          </w:p>
        </w:tc>
        <w:tc>
          <w:tcPr/>
          <w:p>
            <w:pPr>
              <w:pStyle w:val="Compact"/>
              <w:jc w:val="center"/>
            </w:pPr>
            <m:oMath>
              <m:r>
                <m:t>56</m:t>
              </m:r>
            </m:oMath>
          </w:p>
        </w:tc>
        <w:tc>
          <w:tcPr/>
          <w:p>
            <w:pPr>
              <w:pStyle w:val="Compact"/>
              <w:jc w:val="center"/>
            </w:pPr>
            <m:oMath>
              <m:r>
                <m:t>67</m:t>
              </m:r>
            </m:oMath>
          </w:p>
        </w:tc>
        <w:tc>
          <w:tcPr/>
          <w:p>
            <w:pPr>
              <w:pStyle w:val="Compact"/>
              <w:jc w:val="center"/>
            </w:pPr>
            <m:oMath>
              <m:r>
                <m:t>80</m:t>
              </m:r>
            </m:oMath>
          </w:p>
        </w:tc>
        <w:tc>
          <w:tcPr/>
          <w:p>
            <w:pPr>
              <w:pStyle w:val="Compact"/>
              <w:jc w:val="center"/>
            </w:pPr>
            <m:oMath>
              <m:r>
                <m:t>94</m:t>
              </m:r>
            </m:oMath>
          </w:p>
        </w:tc>
        <w:tc>
          <w:tcPr/>
          <w:p>
            <w:pPr>
              <w:pStyle w:val="Compact"/>
              <w:jc w:val="center"/>
            </w:pPr>
            <m:oMath>
              <m:r>
                <m:t>111</m:t>
              </m:r>
            </m:oMath>
          </w:p>
        </w:tc>
        <w:tc>
          <w:tcPr/>
          <w:p>
            <w:pPr>
              <w:pStyle w:val="Compact"/>
              <w:jc w:val="center"/>
            </w:pPr>
            <m:oMath>
              <m:r>
                <m:t>132</m:t>
              </m:r>
            </m:oMath>
          </w:p>
        </w:tc>
        <w:tc>
          <w:tcPr/>
          <w:p>
            <w:pPr>
              <w:pStyle w:val="Compact"/>
              <w:jc w:val="center"/>
            </w:pPr>
            <m:oMath>
              <m:r>
                <m:t>154</m:t>
              </m:r>
            </m:oMath>
          </w:p>
        </w:tc>
        <w:tc>
          <w:tcPr/>
          <w:p>
            <w:pPr>
              <w:pStyle w:val="Compact"/>
              <w:jc w:val="center"/>
            </w:pPr>
            <m:oMath>
              <m:r>
                <m:t>179</m:t>
              </m:r>
            </m:oMath>
          </w:p>
        </w:tc>
        <w:tc>
          <w:tcPr/>
          <w:p>
            <w:pPr>
              <w:pStyle w:val="Compact"/>
              <w:jc w:val="center"/>
            </w:pPr>
            <m:oMath>
              <m:r>
                <m:t>207</m:t>
              </m:r>
            </m:oMath>
          </w:p>
        </w:tc>
        <w:tc>
          <w:tcPr/>
          <w:p>
            <w:pPr>
              <w:pStyle w:val="Compact"/>
              <w:jc w:val="center"/>
            </w:pPr>
            <m:oMath>
              <m:r>
                <m:t>236</m:t>
              </m:r>
            </m:oMath>
          </w:p>
        </w:tc>
        <w:tc>
          <w:tcPr/>
          <w:p>
            <w:pPr>
              <w:pStyle w:val="Compact"/>
              <w:jc w:val="center"/>
            </w:pPr>
            <m:oMath>
              <m:r>
                <m:t>300</m:t>
              </m:r>
            </m:oMath>
          </w:p>
        </w:tc>
        <w:tc>
          <w:tcPr/>
          <w:p>
            <w:pPr>
              <w:pStyle w:val="Compact"/>
              <w:jc w:val="center"/>
            </w:pPr>
            <m:oMath>
              <m:r>
                <m:t>400</m:t>
              </m:r>
            </m:oMath>
          </w:p>
        </w:tc>
      </w:tr>
    </w:tbl>
    <w:bookmarkEnd w:id="36"/>
    <w:bookmarkEnd w:id="37"/>
    <w:bookmarkStart w:id="38" w:name="total-electron-content"/>
    <w:p>
      <w:pPr>
        <w:pStyle w:val="Heading3"/>
      </w:pPr>
      <w:r>
        <w:t xml:space="preserve">Total Electron Content</w:t>
      </w:r>
    </w:p>
    <w:p>
      <w:pPr>
        <w:pStyle w:val="FirstParagraph"/>
      </w:pPr>
      <w:r>
        <w:t xml:space="preserve">The content of gaseous atoms and molecules in the atmosphere increases due to daytime Extreme ultraviolet (EUV) rays and X-rays emitted from the Sun, causing photoionization. Photoionization is a process in which positively charged ions and negatively charged free electrons form and change the electron-ion concentration citestuff(prolss2012physics).</w:t>
      </w:r>
    </w:p>
    <w:p>
      <w:pPr>
        <w:pStyle w:val="BodyText"/>
      </w:pPr>
      <w:r>
        <w:t xml:space="preserve">Changes in</w:t>
      </w:r>
      <w:r>
        <w:t xml:space="preserve"> </w:t>
      </w:r>
      <m:oMath>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T</m:t>
            </m:r>
            <m:r>
              <m:t>E</m:t>
            </m:r>
            <m:r>
              <m:t>C</m:t>
            </m:r>
          </m:e>
        </m:d>
      </m:oMath>
      <w:r>
        <w:t xml:space="preserve"> </w:t>
      </w:r>
      <w:r>
        <w:t xml:space="preserve">levels citestuff(liu2009seismoionospheric) can increase signal delay which can cause positioning errors, especially critical for high-precision applications citestuff(durmaz2015regional, jin2012m_dcb).</w:t>
      </w:r>
      <w:r>
        <w:t xml:space="preserve"> </w:t>
      </w:r>
      <m:oMath>
        <m:r>
          <m:t>T</m:t>
        </m:r>
        <m:r>
          <m:t>E</m:t>
        </m:r>
        <m:r>
          <m:t>C</m:t>
        </m:r>
      </m:oMath>
      <w:r>
        <w:t xml:space="preserve"> </w:t>
      </w:r>
      <w:r>
        <w:t xml:space="preserve">can be calculated as indicated in Equation 1, Equation 2, and Equation 3.</w:t>
      </w:r>
    </w:p>
    <w:p>
      <w:pPr>
        <w:pStyle w:val="BodyText"/>
      </w:pPr>
      <w:r>
        <w:t xml:space="preserve">The Global Positioning System (GPS) ionospheric delay citestuff(schaer1999mapping) on the radio ray path between the satellite and receiver is defined in Equation 6 citestuff(spilker1996global) 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 citestuff(spilker1996global).</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Appleton’s formula in Equation 8 reasonably approximates the relationship between the refraction index and the free electron density distribution citestuff(davies1990ionospheric, spilker1996global).</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oMath>
      </m:oMathPara>
    </w:p>
    <w:p>
      <w:pPr>
        <w:pStyle w:val="FirstParagraph"/>
      </w:pPr>
      <w:r>
        <w:t xml:space="preserve">The combination of Equation 6 and Equation 8 yields Equation 9 that directly describes the relationship between the free electron density profile and the GPS ionospheric delay citestuff(spilker1996global).</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The</w:t>
      </w:r>
      <w:r>
        <w:t xml:space="preserve"> </w:t>
      </w:r>
      <m:oMath>
        <m:r>
          <m:t>T</m:t>
        </m:r>
        <m:r>
          <m:t>E</m:t>
        </m:r>
        <m:r>
          <m:t>C</m:t>
        </m:r>
      </m:oMath>
      <w:r>
        <w:t xml:space="preserve"> </w:t>
      </w:r>
      <w:r>
        <w:t xml:space="preserve">citestuff(spilker1996global) 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w:t>
      </w:r>
      <w:r>
        <w:t xml:space="preserve"> </w:t>
      </w:r>
      <m:oMath>
        <m:r>
          <m:t>T</m:t>
        </m:r>
        <m:r>
          <m:t>E</m:t>
        </m:r>
        <m:r>
          <m:t>C</m:t>
        </m:r>
      </m:oMath>
      <w:r>
        <w:t xml:space="preserve"> </w:t>
      </w:r>
      <w:r>
        <w:t xml:space="preserve">and GPS pseudo-range measurements can be established in Equation 13 citestuff(spilker1996global):</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oMath>
      </m:oMathPara>
    </w:p>
    <w:p>
      <w:pPr>
        <w:pStyle w:val="FirstParagraph"/>
      </w:pPr>
      <w:r>
        <w:t xml:space="preserve">Equation 13 can be rewritten as in Equation 14, defining</w:t>
      </w:r>
      <w:r>
        <w:t xml:space="preserve"> </w:t>
      </w:r>
      <m:oMath>
        <m:r>
          <m:t>T</m:t>
        </m:r>
        <m:r>
          <m:t>E</m:t>
        </m:r>
        <m:r>
          <m:t>C</m:t>
        </m:r>
      </m:oMath>
      <w:r>
        <w:t xml:space="preserve">. The actual value of the</w:t>
      </w:r>
      <w:r>
        <w:t xml:space="preserve"> </w:t>
      </w:r>
      <m:oMath>
        <m:r>
          <m:t>T</m:t>
        </m:r>
        <m:r>
          <m:t>E</m:t>
        </m:r>
        <m:r>
          <m:t>C</m:t>
        </m:r>
      </m:oMath>
      <w:r>
        <w:t xml:space="preserve"> </w:t>
      </w:r>
      <w:r>
        <w:t xml:space="preserve">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oMath>
      </m:oMathPara>
    </w:p>
    <w:p>
      <w:pPr>
        <w:pStyle w:val="FirstParagraph"/>
      </w:pPr>
      <w:r>
        <w:t xml:space="preserve">Considering the imposed regulations for common GPS dual-frequency receiver use, a different method for estimating the</w:t>
      </w:r>
      <w:r>
        <w:t xml:space="preserve"> </w:t>
      </w:r>
      <m:oMath>
        <m:r>
          <m:t>T</m:t>
        </m:r>
        <m:r>
          <m:t>E</m:t>
        </m:r>
        <m:r>
          <m:t>C</m:t>
        </m:r>
      </m:oMath>
      <w:r>
        <w:t xml:space="preserve"> </w:t>
      </w:r>
      <w:r>
        <w:t xml:space="preserve">and GPS ionospheric delay is needed. A standard GPS ionospheric delay model, such as the Klobuchar model in Equation 15 citestuff(enge1994global,spilker1996global). A cosine-like daily dynamic of GPS ionospheric delay values is assumed in the Klobuchar model, with the daily maximum appearing around 14:00 in local time citestuff(klobuchar1987ionospheric).</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oMath>
      </m:oMathPara>
    </w:p>
    <w:bookmarkEnd w:id="38"/>
    <w:bookmarkStart w:id="39" w:name="detrended-total-electron-content"/>
    <w:p>
      <w:pPr>
        <w:pStyle w:val="Heading3"/>
      </w:pPr>
      <w:r>
        <w:t xml:space="preserve">Detrended Total Electron Content</w:t>
      </w:r>
    </w:p>
    <w:p>
      <w:pPr>
        <w:pStyle w:val="FirstParagraph"/>
      </w:pPr>
      <w:r>
        <w:t xml:space="preserve">Some ionospheric phenomena, such as Traveling Ionospheric Disturbance (TID) and Equatorial Plasma Bubbles (EPB), are most clearly discernable by examining detrended TEC data instead of absolute TEC measurements of the state of the ionosphere derived from GNSS. A TEC data detrending method developed by Pradipta et al. citestuff(Pradipta2015) can differentiate wavelike fluctuations associated with TID and deep depletions associated with EPB. Subsequent 2-D geospatial latitude/longitude mapping of net detrended Total Electron Content (dTEC) values from more than stations in South America reveal the drift movement throughout the evening and the spatial structures of EPB over that region, closely aligned with the geomagnetic meridian. Spatial awareness of ionospheric irregularities can be enhanced using 2-D latitude/longitude maps of an affected area citestuff(Pradipta2019).</w:t>
      </w:r>
    </w:p>
    <w:bookmarkEnd w:id="39"/>
    <w:bookmarkStart w:id="43" w:name="disturbance-storm-time"/>
    <w:p>
      <w:pPr>
        <w:pStyle w:val="Heading3"/>
      </w:pPr>
      <w:r>
        <w:t xml:space="preserve">Disturbance Storm-Time</w:t>
      </w:r>
    </w:p>
    <w:p>
      <w:pPr>
        <w:pStyle w:val="FirstParagraph"/>
      </w:pPr>
      <w:r>
        <w:t xml:space="preserve">The next relevant parameter is</w:t>
      </w:r>
      <w:r>
        <w:t xml:space="preserve"> </w:t>
      </w:r>
      <m:oMath>
        <m:r>
          <m:t>D</m:t>
        </m:r>
        <m:r>
          <m:t>i</m:t>
        </m:r>
        <m:r>
          <m:t>s</m:t>
        </m:r>
        <m:r>
          <m:t>t</m:t>
        </m:r>
        <m:r>
          <m:t>u</m:t>
        </m:r>
        <m:r>
          <m:t>r</m:t>
        </m:r>
        <m:r>
          <m:t>b</m:t>
        </m:r>
        <m:r>
          <m:t>a</m:t>
        </m:r>
        <m:r>
          <m:t>n</m:t>
        </m:r>
        <m:r>
          <m:t>c</m:t>
        </m:r>
        <m:r>
          <m:t>e</m:t>
        </m:r>
        <m:r>
          <m:t>S</m:t>
        </m:r>
        <m:r>
          <m:t>t</m:t>
        </m:r>
        <m:r>
          <m:t>o</m:t>
        </m:r>
        <m:r>
          <m:t>r</m:t>
        </m:r>
        <m:r>
          <m:t>m</m:t>
        </m:r>
        <m:r>
          <m:rPr>
            <m:sty m:val="p"/>
          </m:rPr>
          <m:t>−</m:t>
        </m:r>
        <m:r>
          <m:t>T</m:t>
        </m:r>
        <m:r>
          <m:t>i</m:t>
        </m:r>
        <m:r>
          <m:t>m</m:t>
        </m:r>
        <m:r>
          <m:t>e</m:t>
        </m:r>
        <m:d>
          <m:dPr>
            <m:begChr m:val="("/>
            <m:endChr m:val=")"/>
            <m:sepChr m:val=""/>
            <m:grow/>
          </m:dPr>
          <m:e>
            <m:r>
              <m:t>D</m:t>
            </m:r>
            <m:r>
              <m:t>s</m:t>
            </m:r>
            <m:r>
              <m:t>t</m:t>
            </m:r>
          </m:e>
        </m:d>
      </m:oMath>
      <w:r>
        <w:t xml:space="preserve">, also known as the geomagnetic activity</w:t>
      </w:r>
      <w:r>
        <w:t xml:space="preserve"> </w:t>
      </w:r>
      <m:oMath>
        <m:r>
          <m:t>D</m:t>
        </m:r>
        <m:r>
          <m:t>s</m:t>
        </m:r>
        <m:r>
          <m:t>t</m:t>
        </m:r>
      </m:oMath>
      <w:r>
        <w:t xml:space="preserve">-index, another measure of geomagnetic storm intensity. The</w:t>
      </w:r>
      <w:r>
        <w:t xml:space="preserve"> </w:t>
      </w:r>
      <m:oMath>
        <m:r>
          <m:t>D</m:t>
        </m:r>
        <m:r>
          <m:t>s</m:t>
        </m:r>
        <m:r>
          <m:t>t</m:t>
        </m:r>
      </m:oMath>
      <w:r>
        <w:t xml:space="preserve">-index is a geomagnetic indicator of magnetic flux changes derived from measurements taken by a network of ground-based magnetometer stations near the magnetic equator, which continuously monitor</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components of Earth’s magnetic field citestuff(zolesi2014ionospheric). The</w:t>
      </w:r>
      <w:r>
        <w:t xml:space="preserve"> </w:t>
      </w:r>
      <m:oMath>
        <m:r>
          <m:t>D</m:t>
        </m:r>
        <m:r>
          <m:t>s</m:t>
        </m:r>
        <m:r>
          <m:t>t</m:t>
        </m:r>
      </m:oMath>
      <w:r>
        <w:t xml:space="preserve">-index describes ring currents forming above the sub-equatorial region and affecting the ionospheric regions in mid-latitudes.</w:t>
      </w:r>
    </w:p>
    <w:p>
      <w:pPr>
        <w:pStyle w:val="BodyText"/>
      </w:pPr>
      <w:r>
        <w:t xml:space="preserve">To calculate the</w:t>
      </w:r>
      <w:r>
        <w:t xml:space="preserve"> </w:t>
      </w:r>
      <m:oMath>
        <m:r>
          <m:t>D</m:t>
        </m:r>
        <m:r>
          <m:t>s</m:t>
        </m:r>
        <m:r>
          <m:t>t</m:t>
        </m:r>
      </m:oMath>
      <w:r>
        <w:t xml:space="preserve">-index, variations in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magnetic field, are obtained from multiple stations and averaged. The average is subtracted from a baseline value representing the quiet-time magnetic field. The resulting</w:t>
      </w:r>
      <w:r>
        <w:t xml:space="preserve"> </w:t>
      </w:r>
      <m:oMath>
        <m:r>
          <m:t>D</m:t>
        </m:r>
        <m:r>
          <m:t>s</m:t>
        </m:r>
        <m:r>
          <m:t>t</m:t>
        </m:r>
      </m:oMath>
      <w:r>
        <w:t xml:space="preserve"> </w:t>
      </w:r>
      <w:r>
        <w:t xml:space="preserve">value in</w:t>
      </w:r>
      <w:r>
        <w:t xml:space="preserve"> </w:t>
      </w:r>
      <m:oMath>
        <m:r>
          <m:t>n</m:t>
        </m:r>
        <m:r>
          <m:t>T</m:t>
        </m:r>
      </m:oMath>
      <w:r>
        <w:t xml:space="preserve"> </w:t>
      </w:r>
      <w:r>
        <w:t xml:space="preserve">measures the intensity of geomagnetic disturbances, with increasingly negative values indicating stronger geomagnetic storms.</w:t>
      </w:r>
    </w:p>
    <w:p>
      <w:pPr>
        <w:pStyle w:val="BodyText"/>
      </w:pPr>
      <w:r>
        <w:t xml:space="preserve">The</w:t>
      </w:r>
      <w:r>
        <w:t xml:space="preserve"> </w:t>
      </w:r>
      <m:oMath>
        <m:r>
          <m:t>D</m:t>
        </m:r>
        <m:r>
          <m:t>s</m:t>
        </m:r>
        <m:r>
          <m:t>t</m:t>
        </m:r>
      </m:oMath>
      <w:r>
        <w:t xml:space="preserve">-indice measurements as an hourly average were evaluated and published on a web interface by the NASA Goddard SPDF citestuff(Papitashvili2024About, Papitashvili2024Explorer), and the Geomagnetism and Space Magnetism Data Analysis Center of the Institute of Science, Kyoto University in Japan.</w:t>
      </w:r>
    </w:p>
    <w:p>
      <w:pPr>
        <w:pStyle w:val="BodyText"/>
      </w:pPr>
      <w:r>
        <w:t xml:space="preserve">Loewe and Prölss, in 1997 citestuff(loewe1997classification) classified magnetic activity</w:t>
      </w:r>
      <w:r>
        <w:t xml:space="preserve"> </w:t>
      </w:r>
      <m:oMath>
        <m:r>
          <m:t>D</m:t>
        </m:r>
        <m:r>
          <m:t>s</m:t>
        </m:r>
        <m:r>
          <m:t>t</m:t>
        </m:r>
      </m:oMath>
      <w:r>
        <w:t xml:space="preserve">-indices into five storm classes, as shown in Table </w:t>
      </w:r>
      <w:hyperlink w:anchor="tab:loewe1997">
        <w:r>
          <w:rPr>
            <w:rStyle w:val="Hyperlink"/>
          </w:rPr>
          <w:t xml:space="preserve">6</w:t>
        </w:r>
      </w:hyperlink>
      <w:r>
        <w:t xml:space="preserve">. Gonzalez et al. citestuff(gonzalez1994geomagnetic) used three groups for the same data in 1994, as shown in Table </w:t>
      </w:r>
      <w:hyperlink w:anchor="tab:gonzalez1994">
        <w:r>
          <w:rPr>
            <w:rStyle w:val="Hyperlink"/>
          </w:rPr>
          <w:t xml:space="preserve">7</w:t>
        </w:r>
      </w:hyperlink>
      <w:r>
        <w:t xml:space="preserve">, similar to Kamide et al. in 1998 citestuff(kamide1998two), Rozhnoi et al. in 2004 citestuff(rozhnoi2004middle), and Contadakis et al. in 2012 citestuff(contadakis2012total).</w:t>
      </w:r>
    </w:p>
    <w:bookmarkStart w:id="40" w:name="tab:loewe1997"/>
    <w:p>
      <w:pPr>
        <w:pStyle w:val="TableCaption"/>
      </w:pPr>
      <w:r>
        <w:t xml:space="preserve">Storm classification from Loewe and Prölss, in 1997 citestuff(loewe1997classification).</w:t>
      </w:r>
    </w:p>
    <w:tbl>
      <w:tblPr>
        <w:tblStyle w:val="Table"/>
        <w:tblW w:type="auto" w:w="0"/>
        <w:tblLook w:firstRow="0" w:lastRow="0" w:firstColumn="0" w:lastColumn="0" w:noHBand="0" w:noVBand="0" w:val="0000"/>
        <w:tblCaption w:val="Storm classification from Loewe and Prölss, in 1997 citestuff(loewe1997classification)."/>
      </w:tblPr>
      <w:tblGrid>
        <w:gridCol w:w="990"/>
        <w:gridCol w:w="990"/>
        <w:gridCol w:w="990"/>
        <w:gridCol w:w="990"/>
        <w:gridCol w:w="990"/>
        <w:gridCol w:w="990"/>
        <w:gridCol w:w="990"/>
        <w:gridCol w:w="990"/>
      </w:tblGrid>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Storm class</w:t>
            </w:r>
          </w:p>
        </w:tc>
        <w:tc>
          <w:tcPr>
            <w:gridSpan w:val="2"/>
          </w:tcPr>
          <w:p>
            <w:pPr>
              <w:pStyle w:val="Compact"/>
              <w:jc w:val="center"/>
            </w:pPr>
            <w:r>
              <w:t xml:space="preserve">Fraction</w:t>
            </w:r>
          </w:p>
        </w:tc>
        <w:tc>
          <w:tcPr/>
          <w:p>
            <w:pPr>
              <w:pStyle w:val="Compact"/>
              <w:jc w:val="right"/>
            </w:pPr>
            <m:oMath>
              <m:r>
                <m:t>D</m:t>
              </m:r>
              <m:r>
                <m:t>s</m:t>
              </m:r>
              <m:sSub>
                <m:e>
                  <m:r>
                    <m:t>t</m:t>
                  </m:r>
                </m:e>
                <m:sub>
                  <m:r>
                    <m:t>m</m:t>
                  </m:r>
                  <m:r>
                    <m:t>i</m:t>
                  </m:r>
                  <m:r>
                    <m:t>n</m:t>
                  </m:r>
                </m:sub>
              </m:sSub>
            </m:oMath>
            <w:r>
              <w:t xml:space="preserve">-Range</w:t>
            </w:r>
          </w:p>
        </w:tc>
        <w:tc>
          <w:tcPr/>
          <w:p>
            <w:pPr>
              <w:pStyle w:val="Compact"/>
              <w:jc w:val="right"/>
            </w:pPr>
            <m:oMath>
              <m:bar>
                <m:barPr>
                  <m:pos m:val="top"/>
                </m:barPr>
                <m:e>
                  <m:r>
                    <m:t>D</m:t>
                  </m:r>
                  <m:r>
                    <m:t>s</m:t>
                  </m:r>
                  <m:sSub>
                    <m:e>
                      <m:r>
                        <m:t>t</m:t>
                      </m:r>
                    </m:e>
                    <m:sub>
                      <m:r>
                        <m:t>m</m:t>
                      </m:r>
                      <m:r>
                        <m:t>i</m:t>
                      </m:r>
                      <m:r>
                        <m:t>n</m:t>
                      </m:r>
                    </m:sub>
                  </m:sSub>
                </m:e>
              </m:bar>
            </m:oMath>
          </w:p>
        </w:tc>
        <w:tc>
          <w:tcPr/>
          <w:p>
            <w:pPr>
              <w:pStyle w:val="Compact"/>
              <w:jc w:val="right"/>
            </w:pPr>
            <m:oMath>
              <m:bar>
                <m:barPr>
                  <m:pos m:val="top"/>
                </m:barPr>
                <m:e>
                  <m:sSub>
                    <m:e>
                      <m:r>
                        <m:t>a</m:t>
                      </m:r>
                    </m:e>
                    <m:sub>
                      <m:sSub>
                        <m:e>
                          <m:r>
                            <m:t>p</m:t>
                          </m:r>
                        </m:e>
                        <m:sub>
                          <m:r>
                            <m:t>m</m:t>
                          </m:r>
                          <m:r>
                            <m:t>a</m:t>
                          </m:r>
                          <m:r>
                            <m:t>x</m:t>
                          </m:r>
                        </m:sub>
                      </m:sSub>
                    </m:sub>
                  </m:sSub>
                </m:e>
              </m:bar>
            </m:oMath>
          </w:p>
        </w:tc>
        <w:tc>
          <w:tcPr/>
          <w:p>
            <w:pPr>
              <w:pStyle w:val="Compact"/>
              <w:jc w:val="center"/>
            </w:pPr>
            <m:oMath>
              <m:bar>
                <m:barPr>
                  <m:pos m:val="top"/>
                </m:barPr>
                <m:e>
                  <m:sSub>
                    <m:e>
                      <m:r>
                        <m:t>K</m:t>
                      </m:r>
                    </m:e>
                    <m:sub>
                      <m:sSub>
                        <m:e>
                          <m:r>
                            <m:t>p</m:t>
                          </m:r>
                        </m:e>
                        <m:sub>
                          <m:r>
                            <m:t>m</m:t>
                          </m:r>
                          <m:r>
                            <m:t>a</m:t>
                          </m:r>
                          <m:r>
                            <m:t>x</m:t>
                          </m:r>
                        </m:sub>
                      </m:sSub>
                    </m:sub>
                  </m:sSub>
                </m:e>
              </m:bar>
            </m:oMath>
          </w:p>
        </w:tc>
        <w:tc>
          <w:tcPr/>
          <w:p>
            <w:pPr>
              <w:pStyle w:val="Compact"/>
              <w:jc w:val="right"/>
            </w:pPr>
            <m:oMath>
              <m:bar>
                <m:barPr>
                  <m:pos m:val="top"/>
                </m:barPr>
                <m:e>
                  <m:sSub>
                    <m:e>
                      <m:r>
                        <m:t>A</m:t>
                      </m:r>
                    </m:e>
                    <m:sub>
                      <m:sSub>
                        <m:e>
                          <m:r>
                            <m:t>E</m:t>
                          </m:r>
                        </m:e>
                        <m:sub>
                          <m:r>
                            <m:t>m</m:t>
                          </m:r>
                          <m:r>
                            <m:t>a</m:t>
                          </m:r>
                          <m:r>
                            <m:t>x</m:t>
                          </m:r>
                        </m:sub>
                      </m:sSub>
                    </m:sub>
                  </m:sSub>
                </m:e>
              </m:bar>
            </m:oMath>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weak</w:t>
            </w:r>
          </w:p>
        </w:tc>
        <w:tc>
          <w:tcPr/>
          <w:p>
            <w:pPr>
              <w:pStyle w:val="Compact"/>
              <w:jc w:val="right"/>
            </w:pPr>
            <m:oMath>
              <m:r>
                <m:t>482</m:t>
              </m:r>
            </m:oMath>
          </w:p>
        </w:tc>
        <w:tc>
          <w:tcPr/>
          <w:p>
            <w:pPr>
              <w:pStyle w:val="Compact"/>
              <w:jc w:val="right"/>
            </w:pPr>
            <m:oMath>
              <m:r>
                <m:t>44</m:t>
              </m:r>
              <m:r>
                <m:rPr>
                  <m:sty m:val="p"/>
                </m:rPr>
                <m:t>%</m:t>
              </m:r>
            </m:oMath>
          </w:p>
        </w:tc>
        <w:tc>
          <w:tcPr/>
          <w:p>
            <w:pPr>
              <w:pStyle w:val="Compact"/>
              <w:jc w:val="right"/>
            </w:pPr>
            <m:oMath>
              <m:r>
                <m:rPr>
                  <m:sty m:val="p"/>
                </m:rPr>
                <m:t>−</m:t>
              </m:r>
              <m:r>
                <m:t>30</m:t>
              </m:r>
            </m:oMath>
            <w:r>
              <w:t xml:space="preserve"> </w:t>
            </w:r>
            <w:r>
              <w:t xml:space="preserve">to</w:t>
            </w:r>
            <w:r>
              <w:t xml:space="preserve"> </w:t>
            </w:r>
            <m:oMath>
              <m:r>
                <m:rPr>
                  <m:sty m:val="p"/>
                </m:rPr>
                <m:t>−</m:t>
              </m:r>
              <m:r>
                <m:t>50</m:t>
              </m:r>
            </m:oMath>
            <w:r>
              <w:t xml:space="preserve"> </w:t>
            </w:r>
            <m:oMath>
              <m:r>
                <m:t>n</m:t>
              </m:r>
              <m:r>
                <m:t>T</m:t>
              </m:r>
            </m:oMath>
          </w:p>
        </w:tc>
        <w:tc>
          <w:tcPr/>
          <w:p>
            <w:pPr>
              <w:pStyle w:val="Compact"/>
              <w:jc w:val="right"/>
            </w:pPr>
            <m:oMath>
              <m:r>
                <m:rPr>
                  <m:sty m:val="p"/>
                </m:rPr>
                <m:t>−</m:t>
              </m:r>
              <m:r>
                <m:t>36</m:t>
              </m:r>
            </m:oMath>
            <w:r>
              <w:t xml:space="preserve"> </w:t>
            </w:r>
            <m:oMath>
              <m:r>
                <m:t>n</m:t>
              </m:r>
              <m:r>
                <m:t>T</m:t>
              </m:r>
            </m:oMath>
          </w:p>
        </w:tc>
        <w:tc>
          <w:tcPr/>
          <w:p>
            <w:pPr>
              <w:pStyle w:val="Compact"/>
              <w:jc w:val="right"/>
            </w:pPr>
            <m:oMath>
              <m:r>
                <m:t>27</m:t>
              </m:r>
            </m:oMath>
          </w:p>
        </w:tc>
        <w:tc>
          <w:tcPr/>
          <w:p>
            <w:pPr>
              <w:pStyle w:val="Compact"/>
              <w:jc w:val="center"/>
            </w:pPr>
            <m:oMath>
              <m:sSub>
                <m:e>
                  <m:r>
                    <m:t>4</m:t>
                  </m:r>
                </m:e>
                <m:sub>
                  <m:r>
                    <m:t>o</m:t>
                  </m:r>
                </m:sub>
              </m:sSub>
            </m:oMath>
          </w:p>
        </w:tc>
        <w:tc>
          <w:tcPr/>
          <w:p>
            <w:pPr>
              <w:pStyle w:val="Compact"/>
              <w:jc w:val="right"/>
            </w:pPr>
            <m:oMath>
              <m:r>
                <m:t>542</m:t>
              </m:r>
            </m:oMath>
            <w:r>
              <w:t xml:space="preserve"> </w:t>
            </w:r>
            <m:oMath>
              <m:r>
                <m:t>n</m:t>
              </m:r>
              <m:r>
                <m:t>T</m:t>
              </m:r>
            </m:oMath>
          </w:p>
        </w:tc>
      </w:tr>
      <w:tr>
        <w:tc>
          <w:tcPr/>
          <w:p>
            <w:pPr>
              <w:pStyle w:val="Compact"/>
              <w:jc w:val="left"/>
            </w:pPr>
            <w:r>
              <w:t xml:space="preserve">moderate</w:t>
            </w:r>
          </w:p>
        </w:tc>
        <w:tc>
          <w:tcPr/>
          <w:p>
            <w:pPr>
              <w:pStyle w:val="Compact"/>
              <w:jc w:val="right"/>
            </w:pPr>
            <m:oMath>
              <m:r>
                <m:t>346</m:t>
              </m:r>
            </m:oMath>
          </w:p>
        </w:tc>
        <w:tc>
          <w:tcPr/>
          <w:p>
            <w:pPr>
              <w:pStyle w:val="Compact"/>
              <w:jc w:val="right"/>
            </w:pPr>
            <m:oMath>
              <m:r>
                <m:t>32</m:t>
              </m:r>
              <m:r>
                <m:rPr>
                  <m:sty m:val="p"/>
                </m:rPr>
                <m:t>%</m:t>
              </m:r>
            </m:oMath>
          </w:p>
        </w:tc>
        <w:tc>
          <w:tcPr/>
          <w:p>
            <w:pPr>
              <w:pStyle w:val="Compact"/>
              <w:jc w:val="right"/>
            </w:pPr>
            <m:oMath>
              <m:r>
                <m:rPr>
                  <m:sty m:val="p"/>
                </m:rPr>
                <m:t>−</m:t>
              </m:r>
              <m:r>
                <m:t>50</m:t>
              </m:r>
            </m:oMath>
            <w:r>
              <w:t xml:space="preserve"> </w:t>
            </w:r>
            <w:r>
              <w:t xml:space="preserve">to</w:t>
            </w:r>
            <w:r>
              <w:t xml:space="preserve"> </w:t>
            </w:r>
            <m:oMath>
              <m:r>
                <m:rPr>
                  <m:sty m:val="p"/>
                </m:rPr>
                <m:t>−</m:t>
              </m:r>
              <m:r>
                <m:t>100</m:t>
              </m:r>
            </m:oMath>
            <w:r>
              <w:t xml:space="preserve"> </w:t>
            </w:r>
            <m:oMath>
              <m:r>
                <m:t>n</m:t>
              </m:r>
              <m:r>
                <m:t>T</m:t>
              </m:r>
            </m:oMath>
          </w:p>
        </w:tc>
        <w:tc>
          <w:tcPr/>
          <w:p>
            <w:pPr>
              <w:pStyle w:val="Compact"/>
              <w:jc w:val="right"/>
            </w:pPr>
            <m:oMath>
              <m:r>
                <m:rPr>
                  <m:sty m:val="p"/>
                </m:rPr>
                <m:t>−</m:t>
              </m:r>
              <m:r>
                <m:t>68</m:t>
              </m:r>
            </m:oMath>
            <w:r>
              <w:t xml:space="preserve"> </w:t>
            </w:r>
            <m:oMath>
              <m:r>
                <m:t>n</m:t>
              </m:r>
              <m:r>
                <m:t>T</m:t>
              </m:r>
            </m:oMath>
          </w:p>
        </w:tc>
        <w:tc>
          <w:tcPr/>
          <w:p>
            <w:pPr>
              <w:pStyle w:val="Compact"/>
              <w:jc w:val="right"/>
            </w:pPr>
            <m:oMath>
              <m:r>
                <m:t>48</m:t>
              </m:r>
            </m:oMath>
          </w:p>
        </w:tc>
        <w:tc>
          <w:tcPr/>
          <w:p>
            <w:pPr>
              <w:pStyle w:val="Compact"/>
              <w:jc w:val="center"/>
            </w:pPr>
            <m:oMath>
              <m:sSub>
                <m:e>
                  <m:r>
                    <m:t>5</m:t>
                  </m:r>
                </m:e>
                <m:sub>
                  <m:r>
                    <m:t>o</m:t>
                  </m:r>
                </m:sub>
              </m:sSub>
            </m:oMath>
          </w:p>
        </w:tc>
        <w:tc>
          <w:tcPr/>
          <w:p>
            <w:pPr>
              <w:pStyle w:val="Compact"/>
              <w:jc w:val="right"/>
            </w:pPr>
            <m:oMath>
              <m:r>
                <m:t>728</m:t>
              </m:r>
            </m:oMath>
            <w:r>
              <w:t xml:space="preserve"> </w:t>
            </w:r>
            <m:oMath>
              <m:r>
                <m:t>n</m:t>
              </m:r>
              <m:r>
                <m:t>T</m:t>
              </m:r>
            </m:oMath>
          </w:p>
        </w:tc>
      </w:tr>
      <w:tr>
        <w:tc>
          <w:tcPr/>
          <w:p>
            <w:pPr>
              <w:pStyle w:val="Compact"/>
              <w:jc w:val="left"/>
            </w:pPr>
            <w:r>
              <w:t xml:space="preserve">strong</w:t>
            </w:r>
          </w:p>
        </w:tc>
        <w:tc>
          <w:tcPr/>
          <w:p>
            <w:pPr>
              <w:pStyle w:val="Compact"/>
              <w:jc w:val="right"/>
            </w:pPr>
            <m:oMath>
              <m:r>
                <m:t>206</m:t>
              </m:r>
            </m:oMath>
          </w:p>
        </w:tc>
        <w:tc>
          <w:tcPr/>
          <w:p>
            <w:pPr>
              <w:pStyle w:val="Compact"/>
              <w:jc w:val="right"/>
            </w:pPr>
            <m:oMath>
              <m:r>
                <m:t>19</m:t>
              </m:r>
              <m:r>
                <m:rPr>
                  <m:sty m:val="p"/>
                </m:rPr>
                <m:t>%</m:t>
              </m:r>
            </m:oMath>
          </w:p>
        </w:tc>
        <w:tc>
          <w:tcPr/>
          <w:p>
            <w:pPr>
              <w:pStyle w:val="Compact"/>
              <w:jc w:val="right"/>
            </w:pPr>
            <m:oMath>
              <m:r>
                <m:rPr>
                  <m:sty m:val="p"/>
                </m:rPr>
                <m:t>−</m:t>
              </m:r>
              <m:r>
                <m:t>100</m:t>
              </m:r>
            </m:oMath>
            <w:r>
              <w:t xml:space="preserve"> </w:t>
            </w:r>
            <w:r>
              <w:t xml:space="preserve">to</w:t>
            </w:r>
            <w:r>
              <w:t xml:space="preserve"> </w:t>
            </w:r>
            <m:oMath>
              <m:r>
                <m:rPr>
                  <m:sty m:val="p"/>
                </m:rPr>
                <m:t>−</m:t>
              </m:r>
              <m:r>
                <m:t>200</m:t>
              </m:r>
            </m:oMath>
            <w:r>
              <w:t xml:space="preserve"> </w:t>
            </w:r>
            <m:oMath>
              <m:r>
                <m:t>n</m:t>
              </m:r>
              <m:r>
                <m:t>T</m:t>
              </m:r>
            </m:oMath>
          </w:p>
        </w:tc>
        <w:tc>
          <w:tcPr/>
          <w:p>
            <w:pPr>
              <w:pStyle w:val="Compact"/>
              <w:jc w:val="right"/>
            </w:pPr>
            <m:oMath>
              <m:r>
                <m:rPr>
                  <m:sty m:val="p"/>
                </m:rPr>
                <m:t>−</m:t>
              </m:r>
              <m:r>
                <m:t>131</m:t>
              </m:r>
            </m:oMath>
            <w:r>
              <w:t xml:space="preserve"> </w:t>
            </w:r>
            <m:oMath>
              <m:r>
                <m:t>n</m:t>
              </m:r>
              <m:r>
                <m:t>T</m:t>
              </m:r>
            </m:oMath>
          </w:p>
        </w:tc>
        <w:tc>
          <w:tcPr/>
          <w:p>
            <w:pPr>
              <w:pStyle w:val="Compact"/>
              <w:jc w:val="right"/>
            </w:pPr>
            <m:oMath>
              <m:r>
                <m:t>111</m:t>
              </m:r>
            </m:oMath>
          </w:p>
        </w:tc>
        <w:tc>
          <w:tcPr/>
          <w:p>
            <w:pPr>
              <w:pStyle w:val="Compact"/>
              <w:jc w:val="center"/>
            </w:pPr>
            <m:oMath>
              <m:sSub>
                <m:e>
                  <m:r>
                    <m:t>7</m:t>
                  </m:r>
                </m:e>
                <m:sub>
                  <m:r>
                    <m:rPr>
                      <m:sty m:val="p"/>
                    </m:rPr>
                    <m:t>−</m:t>
                  </m:r>
                </m:sub>
              </m:sSub>
            </m:oMath>
          </w:p>
        </w:tc>
        <w:tc>
          <w:tcPr/>
          <w:p>
            <w:pPr>
              <w:pStyle w:val="Compact"/>
              <w:jc w:val="right"/>
            </w:pPr>
            <m:oMath>
              <m:r>
                <m:t>849</m:t>
              </m:r>
            </m:oMath>
            <w:r>
              <w:t xml:space="preserve"> </w:t>
            </w:r>
            <m:oMath>
              <m:r>
                <m:t>n</m:t>
              </m:r>
              <m:r>
                <m:t>T</m:t>
              </m:r>
            </m:oMath>
          </w:p>
        </w:tc>
      </w:tr>
      <w:tr>
        <w:tc>
          <w:tcPr/>
          <w:p>
            <w:pPr>
              <w:pStyle w:val="Compact"/>
              <w:jc w:val="left"/>
            </w:pPr>
            <w:r>
              <w:t xml:space="preserve">severe</w:t>
            </w:r>
          </w:p>
        </w:tc>
        <w:tc>
          <w:tcPr/>
          <w:p>
            <w:pPr>
              <w:pStyle w:val="Compact"/>
              <w:jc w:val="right"/>
            </w:pPr>
            <m:oMath>
              <m:r>
                <m:t>45</m:t>
              </m:r>
            </m:oMath>
          </w:p>
        </w:tc>
        <w:tc>
          <w:tcPr/>
          <w:p>
            <w:pPr>
              <w:pStyle w:val="Compact"/>
              <w:jc w:val="right"/>
            </w:pPr>
            <m:oMath>
              <m:r>
                <m:t>4</m:t>
              </m:r>
              <m:r>
                <m:rPr>
                  <m:sty m:val="p"/>
                </m:rPr>
                <m:t>%</m:t>
              </m:r>
            </m:oMath>
          </w:p>
        </w:tc>
        <w:tc>
          <w:tcPr/>
          <w:p>
            <w:pPr>
              <w:pStyle w:val="Compact"/>
              <w:jc w:val="right"/>
            </w:pPr>
            <m:oMath>
              <m:r>
                <m:rPr>
                  <m:sty m:val="p"/>
                </m:rPr>
                <m:t>−</m:t>
              </m:r>
              <m:r>
                <m:t>200</m:t>
              </m:r>
            </m:oMath>
            <w:r>
              <w:t xml:space="preserve"> </w:t>
            </w:r>
            <w:r>
              <w:t xml:space="preserve">to</w:t>
            </w:r>
            <w:r>
              <w:t xml:space="preserve"> </w:t>
            </w:r>
            <m:oMath>
              <m:r>
                <m:rPr>
                  <m:sty m:val="p"/>
                </m:rPr>
                <m:t>−</m:t>
              </m:r>
              <m:r>
                <m:t>350</m:t>
              </m:r>
            </m:oMath>
            <w:r>
              <w:t xml:space="preserve"> </w:t>
            </w:r>
            <m:oMath>
              <m:r>
                <m:t>n</m:t>
              </m:r>
              <m:r>
                <m:t>T</m:t>
              </m:r>
            </m:oMath>
          </w:p>
        </w:tc>
        <w:tc>
          <w:tcPr/>
          <w:p>
            <w:pPr>
              <w:pStyle w:val="Compact"/>
              <w:jc w:val="right"/>
            </w:pPr>
            <m:oMath>
              <m:r>
                <m:rPr>
                  <m:sty m:val="p"/>
                </m:rPr>
                <m:t>−</m:t>
              </m:r>
              <m:r>
                <m:t>254</m:t>
              </m:r>
            </m:oMath>
            <w:r>
              <w:t xml:space="preserve"> </w:t>
            </w:r>
            <m:oMath>
              <m:r>
                <m:t>n</m:t>
              </m:r>
              <m:r>
                <m:t>T</m:t>
              </m:r>
            </m:oMath>
          </w:p>
        </w:tc>
        <w:tc>
          <w:tcPr/>
          <w:p>
            <w:pPr>
              <w:pStyle w:val="Compact"/>
              <w:jc w:val="right"/>
            </w:pPr>
            <m:oMath>
              <m:r>
                <m:t>236</m:t>
              </m:r>
            </m:oMath>
          </w:p>
        </w:tc>
        <w:tc>
          <w:tcPr/>
          <w:p>
            <w:pPr>
              <w:pStyle w:val="Compact"/>
              <w:jc w:val="center"/>
            </w:pPr>
            <m:oMath>
              <m:sSub>
                <m:e>
                  <m:r>
                    <m:t>8</m:t>
                  </m:r>
                </m:e>
                <m:sub>
                  <m:r>
                    <m:rPr>
                      <m:sty m:val="p"/>
                    </m:rPr>
                    <m:t>+</m:t>
                  </m:r>
                </m:sub>
              </m:sSub>
            </m:oMath>
          </w:p>
        </w:tc>
        <w:tc>
          <w:tcPr/>
          <w:p>
            <w:pPr>
              <w:pStyle w:val="Compact"/>
              <w:jc w:val="right"/>
            </w:pPr>
            <m:oMath>
              <m:r>
                <m:t>1017</m:t>
              </m:r>
            </m:oMath>
            <w:r>
              <w:t xml:space="preserve"> </w:t>
            </w:r>
            <m:oMath>
              <m:r>
                <m:t>n</m:t>
              </m:r>
              <m:r>
                <m:t>T</m:t>
              </m:r>
            </m:oMath>
          </w:p>
        </w:tc>
      </w:tr>
      <w:tr>
        <w:tc>
          <w:tcPr/>
          <w:p>
            <w:pPr>
              <w:pStyle w:val="Compact"/>
              <w:jc w:val="left"/>
            </w:pPr>
            <w:r>
              <w:t xml:space="preserve">great</w:t>
            </w:r>
          </w:p>
        </w:tc>
        <w:tc>
          <w:tcPr/>
          <w:p>
            <w:pPr>
              <w:pStyle w:val="Compact"/>
              <w:jc w:val="right"/>
            </w:pPr>
            <m:oMath>
              <m:r>
                <m:t>6</m:t>
              </m:r>
            </m:oMath>
          </w:p>
        </w:tc>
        <w:tc>
          <w:tcPr/>
          <w:p>
            <w:pPr>
              <w:pStyle w:val="Compact"/>
              <w:jc w:val="right"/>
            </w:pPr>
            <m:oMath>
              <m:r>
                <m:t>1</m:t>
              </m:r>
              <m:r>
                <m:rPr>
                  <m:sty m:val="p"/>
                </m:rPr>
                <m:t>%</m:t>
              </m:r>
            </m:oMath>
          </w:p>
        </w:tc>
        <w:tc>
          <w:tcPr/>
          <w:p>
            <w:pPr>
              <w:pStyle w:val="Compact"/>
              <w:jc w:val="right"/>
            </w:pPr>
            <m:oMath>
              <m:r>
                <m:rPr>
                  <m:sty m:val="p"/>
                </m:rPr>
                <m:t>&lt;</m:t>
              </m:r>
              <m:r>
                <m:rPr>
                  <m:sty m:val="p"/>
                </m:rPr>
                <m:t>−</m:t>
              </m:r>
              <m:r>
                <m:t>350</m:t>
              </m:r>
            </m:oMath>
            <w:r>
              <w:t xml:space="preserve"> </w:t>
            </w:r>
            <m:oMath>
              <m:r>
                <m:t>n</m:t>
              </m:r>
              <m:r>
                <m:t>T</m:t>
              </m:r>
            </m:oMath>
          </w:p>
        </w:tc>
        <w:tc>
          <w:tcPr/>
          <w:p>
            <w:pPr>
              <w:pStyle w:val="Compact"/>
              <w:jc w:val="right"/>
            </w:pPr>
            <m:oMath>
              <m:r>
                <m:rPr>
                  <m:sty m:val="p"/>
                </m:rPr>
                <m:t>−</m:t>
              </m:r>
              <m:r>
                <m:t>427</m:t>
              </m:r>
            </m:oMath>
            <w:r>
              <w:t xml:space="preserve"> </w:t>
            </w:r>
            <m:oMath>
              <m:r>
                <m:t>n</m:t>
              </m:r>
              <m:r>
                <m:t>T</m:t>
              </m:r>
            </m:oMath>
          </w:p>
        </w:tc>
        <w:tc>
          <w:tcPr/>
          <w:p>
            <w:pPr>
              <w:pStyle w:val="Compact"/>
              <w:jc w:val="right"/>
            </w:pPr>
            <m:oMath>
              <m:r>
                <m:t>300</m:t>
              </m:r>
            </m:oMath>
          </w:p>
        </w:tc>
        <w:tc>
          <w:tcPr/>
          <w:p>
            <w:pPr>
              <w:pStyle w:val="Compact"/>
              <w:jc w:val="center"/>
            </w:pPr>
            <m:oMath>
              <m:sSub>
                <m:e>
                  <m:r>
                    <m:t>9</m:t>
                  </m:r>
                </m:e>
                <m:sub>
                  <m:r>
                    <m:rPr>
                      <m:sty m:val="p"/>
                    </m:rPr>
                    <m:t>−</m:t>
                  </m:r>
                </m:sub>
              </m:sSub>
            </m:oMath>
          </w:p>
        </w:tc>
        <w:tc>
          <w:tcPr/>
          <w:p>
            <w:pPr>
              <w:pStyle w:val="Compact"/>
              <w:jc w:val="right"/>
            </w:pPr>
            <m:oMath>
              <m:r>
                <m:t>1335</m:t>
              </m:r>
            </m:oMath>
            <w:r>
              <w:t xml:space="preserve"> </w:t>
            </w:r>
            <m:oMath>
              <m:r>
                <m:t>n</m:t>
              </m:r>
              <m:r>
                <m:t>T</m:t>
              </m:r>
            </m:oMath>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gridSpan w:val="8"/>
          </w:tcPr>
          <w:p>
            <w:pPr>
              <w:pStyle w:val="Compact"/>
              <w:jc w:val="left"/>
            </w:pPr>
            <w:r>
              <w:t xml:space="preserve">The bars above the magnetic indices indicate median values.</w:t>
            </w:r>
          </w:p>
        </w:tc>
      </w:tr>
    </w:tbl>
    <w:bookmarkEnd w:id="40"/>
    <w:bookmarkStart w:id="41" w:name="tab:gonzalez1994"/>
    <w:p>
      <w:pPr>
        <w:pStyle w:val="TableCaption"/>
      </w:pPr>
      <w:r>
        <w:t xml:space="preserve">Storm classification from Gonzales et al., in 1994 citestuff(gonzalez1994geomagnetic).</w:t>
      </w:r>
    </w:p>
    <w:tbl>
      <w:tblPr>
        <w:tblStyle w:val="Table"/>
        <w:tblW w:type="auto" w:w="0"/>
        <w:tblLook w:firstRow="0" w:lastRow="0" w:firstColumn="0" w:lastColumn="0" w:noHBand="0" w:noVBand="0" w:val="0000"/>
        <w:tblCaption w:val="Storm classification from Gonzales et al., in 1994 citestuff(gonzalez1994geomagnetic)."/>
      </w:tblPr>
      <w:tblGrid>
        <w:gridCol w:w="1980"/>
        <w:gridCol w:w="1980"/>
        <w:gridCol w:w="1980"/>
        <w:gridCol w:w="1980"/>
      </w:tblGrid>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right"/>
            </w:pPr>
            <m:oMath>
              <m:r>
                <m:t>D</m:t>
              </m:r>
              <m:r>
                <m:t>s</m:t>
              </m:r>
              <m:r>
                <m:t>t</m:t>
              </m:r>
            </m:oMath>
            <w:r>
              <w:t xml:space="preserve">,</w:t>
            </w:r>
            <w:r>
              <w:t xml:space="preserve"> </w:t>
            </w:r>
            <m:oMath>
              <m:r>
                <m:t>n</m:t>
              </m:r>
              <m:r>
                <m:t>T</m:t>
              </m:r>
            </m:oMath>
          </w:p>
        </w:tc>
        <w:tc>
          <w:tcPr/>
          <w:p>
            <w:pPr>
              <w:pStyle w:val="Compact"/>
              <w:jc w:val="right"/>
            </w:pPr>
            <m:oMath>
              <m:sSub>
                <m:e>
                  <m:r>
                    <m:t>B</m:t>
                  </m:r>
                </m:e>
                <m:sub>
                  <m:r>
                    <m:t>z</m:t>
                  </m:r>
                </m:sub>
              </m:sSub>
            </m:oMath>
            <w:r>
              <w:t xml:space="preserve">,</w:t>
            </w:r>
            <w:r>
              <w:t xml:space="preserve"> </w:t>
            </w:r>
            <m:oMath>
              <m:r>
                <m:t>n</m:t>
              </m:r>
              <m:r>
                <m:t>T</m:t>
              </m:r>
            </m:oMath>
          </w:p>
        </w:tc>
        <w:tc>
          <w:tcPr/>
          <w:p>
            <w:pPr>
              <w:pStyle w:val="Compact"/>
              <w:jc w:val="center"/>
            </w:pPr>
            <m:oMath>
              <m:r>
                <m:t>Δ</m:t>
              </m:r>
              <m:r>
                <m:t>T</m:t>
              </m:r>
            </m:oMath>
            <w:r>
              <w:t xml:space="preserve">, hours</w:t>
            </w:r>
          </w:p>
        </w:tc>
      </w:tr>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Intense</w:t>
            </w:r>
          </w:p>
        </w:tc>
        <w:tc>
          <w:tcPr/>
          <w:p>
            <w:pPr>
              <w:pStyle w:val="Compact"/>
              <w:jc w:val="right"/>
            </w:pPr>
            <m:oMath>
              <m:r>
                <m:rPr>
                  <m:sty m:val="p"/>
                </m:rPr>
                <m:t>−</m:t>
              </m:r>
              <m:r>
                <m:t>100</m:t>
              </m:r>
            </m:oMath>
          </w:p>
        </w:tc>
        <w:tc>
          <w:tcPr/>
          <w:p>
            <w:pPr>
              <w:pStyle w:val="Compact"/>
              <w:jc w:val="right"/>
            </w:pPr>
            <m:oMath>
              <m:r>
                <m:rPr>
                  <m:sty m:val="p"/>
                </m:rPr>
                <m:t>−</m:t>
              </m:r>
              <m:r>
                <m:t>10</m:t>
              </m:r>
            </m:oMath>
          </w:p>
        </w:tc>
        <w:tc>
          <w:tcPr/>
          <w:p>
            <w:pPr>
              <w:pStyle w:val="Compact"/>
              <w:jc w:val="center"/>
            </w:pPr>
            <m:oMath>
              <m:r>
                <m:t>3</m:t>
              </m:r>
            </m:oMath>
          </w:p>
        </w:tc>
      </w:tr>
      <w:tr>
        <w:tc>
          <w:tcPr/>
          <w:p>
            <w:pPr>
              <w:pStyle w:val="Compact"/>
              <w:jc w:val="left"/>
            </w:pPr>
            <w:r>
              <w:t xml:space="preserve">Moderate</w:t>
            </w:r>
          </w:p>
        </w:tc>
        <w:tc>
          <w:tcPr/>
          <w:p>
            <w:pPr>
              <w:pStyle w:val="Compact"/>
              <w:jc w:val="right"/>
            </w:pPr>
            <m:oMath>
              <m:r>
                <m:rPr>
                  <m:sty m:val="p"/>
                </m:rPr>
                <m:t>−</m:t>
              </m:r>
              <m:r>
                <m:t>50</m:t>
              </m:r>
            </m:oMath>
          </w:p>
        </w:tc>
        <w:tc>
          <w:tcPr/>
          <w:p>
            <w:pPr>
              <w:pStyle w:val="Compact"/>
              <w:jc w:val="right"/>
            </w:pPr>
            <m:oMath>
              <m:r>
                <m:rPr>
                  <m:sty m:val="p"/>
                </m:rPr>
                <m:t>−</m:t>
              </m:r>
              <m:r>
                <m:t>5</m:t>
              </m:r>
            </m:oMath>
          </w:p>
        </w:tc>
        <w:tc>
          <w:tcPr/>
          <w:p>
            <w:pPr>
              <w:pStyle w:val="Compact"/>
              <w:jc w:val="center"/>
            </w:pPr>
            <m:oMath>
              <m:r>
                <m:t>2</m:t>
              </m:r>
            </m:oMath>
          </w:p>
        </w:tc>
      </w:tr>
      <w:tr>
        <w:tc>
          <w:tcPr/>
          <w:p>
            <w:pPr>
              <w:pStyle w:val="Compact"/>
              <w:jc w:val="left"/>
            </w:pPr>
            <w:r>
              <w:t xml:space="preserve">Small</w:t>
            </w:r>
          </w:p>
        </w:tc>
        <w:tc>
          <w:tcPr/>
          <w:p>
            <w:pPr>
              <w:pStyle w:val="Compact"/>
              <w:jc w:val="right"/>
            </w:pPr>
            <m:oMath>
              <m:r>
                <m:rPr>
                  <m:sty m:val="p"/>
                </m:rPr>
                <m:t>−</m:t>
              </m:r>
              <m:r>
                <m:t>30</m:t>
              </m:r>
            </m:oMath>
          </w:p>
        </w:tc>
        <w:tc>
          <w:tcPr/>
          <w:p>
            <w:pPr>
              <w:pStyle w:val="Compact"/>
              <w:jc w:val="right"/>
            </w:pPr>
            <m:oMath>
              <m:r>
                <m:rPr>
                  <m:sty m:val="p"/>
                </m:rPr>
                <m:t>−</m:t>
              </m:r>
              <m:r>
                <m:t>3</m:t>
              </m:r>
            </m:oMath>
          </w:p>
        </w:tc>
        <w:tc>
          <w:tcPr/>
          <w:p>
            <w:pPr>
              <w:pStyle w:val="Compact"/>
              <w:jc w:val="center"/>
            </w:pPr>
            <m:oMath>
              <m:r>
                <m:t>1</m:t>
              </m:r>
            </m:oMath>
          </w:p>
        </w:tc>
      </w:tr>
      <w:tr>
        <w:tc>
          <w:tcPr/>
          <w:p>
            <w:pPr>
              <w:pStyle w:val="Compact"/>
              <w:jc w:val="left"/>
            </w:pPr>
            <w:r>
              <w:t xml:space="preserve">(typical substorm)</w:t>
            </w: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bl>
    <w:bookmarkEnd w:id="41"/>
    <w:p>
      <w:pPr>
        <w:pStyle w:val="BodyText"/>
      </w:pPr>
      <w:r>
        <w:t xml:space="preserve">To generate classes for this study, samples were split into</w:t>
      </w:r>
      <w:r>
        <w:t xml:space="preserve"> </w:t>
      </w:r>
      <m:oMath>
        <m:r>
          <m:t>5</m:t>
        </m:r>
      </m:oMath>
      <w:r>
        <w:t xml:space="preserve"> </w:t>
      </w:r>
      <w:r>
        <w:t xml:space="preserve">ranges, P (positive,</w:t>
      </w:r>
      <w:r>
        <w:t xml:space="preserve"> </w:t>
      </w:r>
      <m:oMath>
        <m:r>
          <m:t>D</m:t>
        </m:r>
        <m:r>
          <m:t>s</m:t>
        </m:r>
        <m:r>
          <m:t>t</m:t>
        </m:r>
      </m:oMath>
      <w:r>
        <w:t xml:space="preserve"> </w:t>
      </w:r>
      <w:r>
        <w:t xml:space="preserve">from</w:t>
      </w:r>
      <w:r>
        <w:t xml:space="preserve"> </w:t>
      </w:r>
      <m:oMath>
        <m:r>
          <m:t>15</m:t>
        </m:r>
      </m:oMath>
      <w:r>
        <w:t xml:space="preserve"> </w:t>
      </w:r>
      <w:r>
        <w:t xml:space="preserve">to</w:t>
      </w:r>
      <w:r>
        <w:t xml:space="preserve"> </w:t>
      </w:r>
      <m:oMath>
        <m:r>
          <m:t>50</m:t>
        </m:r>
      </m:oMath>
      <w:r>
        <w:t xml:space="preserve">), N (normal,</w:t>
      </w:r>
      <w:r>
        <w:t xml:space="preserve"> </w:t>
      </w:r>
      <m:oMath>
        <m:r>
          <m:t>D</m:t>
        </m:r>
        <m:r>
          <m:t>s</m:t>
        </m:r>
        <m:r>
          <m:t>t</m:t>
        </m:r>
      </m:oMath>
      <w:r>
        <w:t xml:space="preserve"> </w:t>
      </w:r>
      <w:r>
        <w:t xml:space="preserve">from</w:t>
      </w:r>
      <w:r>
        <w:t xml:space="preserve"> </w:t>
      </w:r>
      <m:oMath>
        <m:r>
          <m:rPr>
            <m:sty m:val="p"/>
          </m:rPr>
          <m:t>−</m:t>
        </m:r>
        <m:r>
          <m:t>20</m:t>
        </m:r>
      </m:oMath>
      <w:r>
        <w:t xml:space="preserve"> </w:t>
      </w:r>
      <w:r>
        <w:t xml:space="preserve">to</w:t>
      </w:r>
      <w:r>
        <w:t xml:space="preserve"> </w:t>
      </w:r>
      <m:oMath>
        <m:r>
          <m:t>15</m:t>
        </m:r>
      </m:oMath>
      <w:r>
        <w:t xml:space="preserve">), R (recovery,</w:t>
      </w:r>
      <w:r>
        <w:t xml:space="preserve"> </w:t>
      </w:r>
      <m:oMath>
        <m:r>
          <m:t>D</m:t>
        </m:r>
        <m:r>
          <m:t>s</m:t>
        </m:r>
        <m:r>
          <m:t>t</m:t>
        </m:r>
      </m:oMath>
      <w:r>
        <w:t xml:space="preserve"> </w:t>
      </w:r>
      <w:r>
        <w:t xml:space="preserve">from</w:t>
      </w:r>
      <w:r>
        <w:t xml:space="preserve"> </w:t>
      </w:r>
      <m:oMath>
        <m:r>
          <m:rPr>
            <m:sty m:val="p"/>
          </m:rPr>
          <m:t>−</m:t>
        </m:r>
        <m:r>
          <m:t>55</m:t>
        </m:r>
      </m:oMath>
      <w:r>
        <w:t xml:space="preserve"> </w:t>
      </w:r>
      <w:r>
        <w:t xml:space="preserve">to</w:t>
      </w:r>
      <w:r>
        <w:t xml:space="preserve"> </w:t>
      </w:r>
      <m:oMath>
        <m:r>
          <m:rPr>
            <m:sty m:val="p"/>
          </m:rPr>
          <m:t>−</m:t>
        </m:r>
        <m:r>
          <m:t>20</m:t>
        </m:r>
      </m:oMath>
      <w:r>
        <w:t xml:space="preserve">), T (through,</w:t>
      </w:r>
      <w:r>
        <w:t xml:space="preserve"> </w:t>
      </w:r>
      <m:oMath>
        <m:r>
          <m:t>D</m:t>
        </m:r>
        <m:r>
          <m:t>s</m:t>
        </m:r>
        <m:r>
          <m:t>t</m:t>
        </m:r>
      </m:oMath>
      <w:r>
        <w:t xml:space="preserve"> </w:t>
      </w:r>
      <w:r>
        <w:t xml:space="preserve">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w:t>
      </w:r>
      <w:r>
        <w:t xml:space="preserve"> </w:t>
      </w:r>
      <m:oMath>
        <m:r>
          <m:t>D</m:t>
        </m:r>
        <m:r>
          <m:t>s</m:t>
        </m:r>
        <m:r>
          <m:t>t</m:t>
        </m:r>
      </m:oMath>
      <w:r>
        <w:t xml:space="preserve"> </w:t>
      </w:r>
      <w:r>
        <w:t xml:space="preserve">from</w:t>
      </w:r>
      <w:r>
        <w:t xml:space="preserve"> </w:t>
      </w:r>
      <m:oMath>
        <m:r>
          <m:rPr>
            <m:sty m:val="p"/>
          </m:rPr>
          <m:t>−</m:t>
        </m:r>
        <m:r>
          <m:t>120</m:t>
        </m:r>
      </m:oMath>
      <w:r>
        <w:t xml:space="preserve"> </w:t>
      </w:r>
      <w:r>
        <w:t xml:space="preserve">to</w:t>
      </w:r>
      <w:r>
        <w:t xml:space="preserve"> </w:t>
      </w:r>
      <m:oMath>
        <m:r>
          <m:rPr>
            <m:sty m:val="p"/>
          </m:rPr>
          <m:t>−</m:t>
        </m:r>
        <m:r>
          <m:t>85</m:t>
        </m:r>
      </m:oMath>
      <w:r>
        <w:t xml:space="preserve">), based on</w:t>
      </w:r>
      <w:r>
        <w:t xml:space="preserve"> </w:t>
      </w:r>
      <m:oMath>
        <m:r>
          <m:t>D</m:t>
        </m:r>
        <m:r>
          <m:t>s</m:t>
        </m:r>
        <m:r>
          <m:t>t</m:t>
        </m:r>
      </m:oMath>
      <w:r>
        <w:t xml:space="preserve"> </w:t>
      </w:r>
      <w:r>
        <w:t xml:space="preserve">values derived from theoretical knowledge of different storm phases. Table</w:t>
      </w:r>
      <w:r>
        <w:t xml:space="preserve"> </w:t>
      </w:r>
      <w:hyperlink w:anchor="tab:Dstranges">
        <w:r>
          <w:rPr>
            <w:rStyle w:val="Hyperlink"/>
          </w:rPr>
          <w:t xml:space="preserve">8</w:t>
        </w:r>
      </w:hyperlink>
      <w:r>
        <w:t xml:space="preserve"> </w:t>
      </w:r>
      <w:r>
        <w:t xml:space="preserve">lists the ranges used in this study.</w:t>
      </w:r>
    </w:p>
    <w:bookmarkStart w:id="42" w:name="tab:Dstranges"/>
    <w:p>
      <w:pPr>
        <w:pStyle w:val="TableCaption"/>
      </w:pPr>
      <m:oMath>
        <m:r>
          <m:t>D</m:t>
        </m:r>
        <m:r>
          <m:t>s</m:t>
        </m:r>
        <m:r>
          <m:t>t</m:t>
        </m:r>
      </m:oMath>
      <w:r>
        <w:t xml:space="preserve">-based classification rules used in this study.</w:t>
      </w:r>
    </w:p>
    <w:tbl>
      <w:tblPr>
        <w:tblStyle w:val="Table"/>
        <w:tblW w:type="auto" w:w="0"/>
        <w:tblLook w:firstRow="1" w:lastRow="0" w:firstColumn="0" w:lastColumn="0" w:noHBand="0" w:noVBand="0" w:val="0020"/>
        <w:tblCaption w:val="Dst-based classification rules used in this study."/>
      </w:tblPr>
      <w:tblGrid>
        <w:gridCol w:w="3960"/>
        <w:gridCol w:w="3960"/>
      </w:tblGrid>
      <w:tr>
        <w:trPr>
          <w:tblHeader w:val="on"/>
        </w:trPr>
        <w:tc>
          <w:tcPr/>
          <w:p>
            <w:pPr>
              <w:pStyle w:val="Compact"/>
              <w:jc w:val="center"/>
            </w:pPr>
            <m:oMath>
              <m:r>
                <m:t>D</m:t>
              </m:r>
              <m:r>
                <m:t>s</m:t>
              </m:r>
              <m:r>
                <m:t>t</m:t>
              </m:r>
            </m:oMath>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42"/>
    <w:bookmarkEnd w:id="43"/>
    <w:bookmarkStart w:id="73" w:name="correlation"/>
    <w:p>
      <w:pPr>
        <w:pStyle w:val="Heading3"/>
      </w:pPr>
      <w:r>
        <w:t xml:space="preserve">Correlation</w:t>
      </w:r>
    </w:p>
    <w:p>
      <w:pPr>
        <w:pStyle w:val="FirstParagraph"/>
      </w:pPr>
      <w:r>
        <w:t xml:space="preserve">To verify if variables other than</w:t>
      </w:r>
      <w:r>
        <w:t xml:space="preserve"> </w:t>
      </w:r>
      <m:oMath>
        <m:r>
          <m:t>d</m:t>
        </m:r>
        <m:r>
          <m:t>T</m:t>
        </m:r>
        <m:r>
          <m:t>E</m:t>
        </m:r>
        <m:r>
          <m:t>C</m:t>
        </m:r>
      </m:oMath>
      <w:r>
        <w:t xml:space="preserve"> </w:t>
      </w:r>
      <w:r>
        <w:t xml:space="preserve">were truly independent of each other and individually dependent on</w:t>
      </w:r>
      <w:r>
        <w:t xml:space="preserve"> </w:t>
      </w:r>
      <m:oMath>
        <m:r>
          <m:t>d</m:t>
        </m:r>
        <m:r>
          <m:t>T</m:t>
        </m:r>
        <m:r>
          <m:t>E</m:t>
        </m:r>
        <m:r>
          <m:t>C</m:t>
        </m:r>
      </m:oMath>
      <w:r>
        <w:t xml:space="preserve">, which was the assumption used in the hypothesis of this study, the data was examined before training classification models. A Correlation plot formatted as a heat map, box plots, histograms, and scatter plots were generated and studied for different variable ranges and combinations.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are also included in the analysis.</w:t>
      </w:r>
    </w:p>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w:t>
      </w:r>
      <w:r>
        <w:t xml:space="preserve"> </w:t>
      </w:r>
      <m:oMath>
        <m:r>
          <m:t>T</m:t>
        </m:r>
        <m:r>
          <m:t>E</m:t>
        </m:r>
        <m:r>
          <m:t>C</m:t>
        </m:r>
      </m:oMath>
      <w:r>
        <w:t xml:space="preserve">, as expected based on previously outlined theoretical aspects of these variables.</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supports the hypothesis that we can predict</w:t>
      </w:r>
      <w:r>
        <w:t xml:space="preserve"> </w:t>
      </w:r>
      <m:oMath>
        <m:r>
          <m:t>D</m:t>
        </m:r>
        <m:r>
          <m:t>s</m:t>
        </m:r>
        <m:r>
          <m:t>t</m:t>
        </m:r>
      </m:oMath>
      <w:r>
        <w:t xml:space="preserve"> </w:t>
      </w:r>
      <w:r>
        <w:t xml:space="preserve">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47" w:name="fig:correlation"/>
    <w:p>
      <w:pPr>
        <w:pStyle w:val="CaptionedFigure"/>
      </w:pPr>
      <w:r>
        <w:drawing>
          <wp:inline>
            <wp:extent cx="4800600" cy="4800600"/>
            <wp:effectExtent b="0" l="0" r="0" t="0"/>
            <wp:docPr descr="" title="" id="45" name="Picture"/>
            <a:graphic>
              <a:graphicData uri="http://schemas.openxmlformats.org/drawingml/2006/picture">
                <pic:pic>
                  <pic:nvPicPr>
                    <pic:cNvPr descr="correlation.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47"/>
    <w:p>
      <w:pPr>
        <w:pStyle w:val="BodyText"/>
      </w:pPr>
      <w:r>
        <w:t xml:space="preserve">The box plots of all variables for different ranges of</w:t>
      </w:r>
      <w:r>
        <w:t xml:space="preserve"> </w:t>
      </w:r>
      <m:oMath>
        <m:r>
          <m:t>D</m:t>
        </m:r>
        <m:r>
          <m:t>s</m:t>
        </m:r>
        <m:r>
          <m:t>t</m:t>
        </m:r>
      </m:oMath>
      <w:r>
        <w:t xml:space="preserve"> </w:t>
      </w:r>
      <w:r>
        <w:t xml:space="preserve">values in Figure </w:t>
      </w:r>
      <w:hyperlink w:anchor="fig:dataset2boxplot">
        <w:r>
          <w:rPr>
            <w:rStyle w:val="Hyperlink"/>
          </w:rPr>
          <w:t xml:space="preserve">2</w:t>
        </w:r>
      </w:hyperlink>
      <w:r>
        <w:t xml:space="preserve">, without restriction on the range of</w:t>
      </w:r>
      <w:r>
        <w:t xml:space="preserve"> </w:t>
      </w:r>
      <m:oMath>
        <m:r>
          <m:t>T</m:t>
        </m:r>
        <m:r>
          <m:t>E</m:t>
        </m:r>
        <m:r>
          <m:t>C</m:t>
        </m:r>
      </m:oMath>
      <w:r>
        <w:t xml:space="preserve">, and in Figure </w:t>
      </w:r>
      <w:hyperlink w:anchor="fig:iono3boxplot">
        <w:r>
          <w:rPr>
            <w:rStyle w:val="Hyperlink"/>
          </w:rPr>
          <w:t xml:space="preserve">3</w:t>
        </w:r>
      </w:hyperlink>
      <w:r>
        <w:t xml:space="preserve">, where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w:t>
      </w:r>
      <w:r>
        <w:t xml:space="preserve"> </w:t>
      </w:r>
      <m:oMath>
        <m:r>
          <m:t>D</m:t>
        </m:r>
        <m:r>
          <m:t>s</m:t>
        </m:r>
        <m:r>
          <m:t>t</m:t>
        </m:r>
      </m:oMath>
      <w:r>
        <w:t xml:space="preserve"> </w:t>
      </w:r>
      <w:r>
        <w:t xml:space="preserve">values regardless of</w:t>
      </w:r>
      <w:r>
        <w:t xml:space="preserve"> </w:t>
      </w:r>
      <m:oMath>
        <m:r>
          <m:t>T</m:t>
        </m:r>
        <m:r>
          <m:t>E</m:t>
        </m:r>
        <m:r>
          <m:t>C</m:t>
        </m:r>
      </m:oMath>
      <w:r>
        <w:t xml:space="preserve"> </w:t>
      </w:r>
      <w:r>
        <w:t xml:space="preserve">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w:t>
      </w:r>
      <w:r>
        <w:t xml:space="preserve"> </w:t>
      </w:r>
      <m:oMath>
        <m:r>
          <m:t>D</m:t>
        </m:r>
        <m:r>
          <m:t>s</m:t>
        </m:r>
        <m:r>
          <m:t>t</m:t>
        </m:r>
      </m:oMath>
      <w:r>
        <w:t xml:space="preserve"> </w:t>
      </w:r>
      <w:r>
        <w:t xml:space="preserve">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w:t>
      </w:r>
      <w:r>
        <w:t xml:space="preserve"> </w:t>
      </w:r>
      <m:oMath>
        <m:r>
          <m:t>D</m:t>
        </m:r>
        <m:r>
          <m:t>s</m:t>
        </m:r>
        <m:r>
          <m:t>t</m:t>
        </m:r>
      </m:oMath>
      <w:r>
        <w:t xml:space="preserve"> </w:t>
      </w:r>
      <w:r>
        <w:t xml:space="preserve">values can also be observed. Similar conclusions can be reached from the scatter plots of all variables for different ranges of</w:t>
      </w:r>
      <w:r>
        <w:t xml:space="preserve"> </w:t>
      </w:r>
      <m:oMath>
        <m:r>
          <m:t>D</m:t>
        </m:r>
        <m:r>
          <m:t>s</m:t>
        </m:r>
        <m:r>
          <m:t>t</m:t>
        </m:r>
      </m:oMath>
      <w:r>
        <w:t xml:space="preserve"> </w:t>
      </w:r>
      <w:r>
        <w:t xml:space="preserve">in Figure </w:t>
      </w:r>
      <w:hyperlink w:anchor="fig:iono3scatterplot">
        <w:r>
          <w:rPr>
            <w:rStyle w:val="Hyperlink"/>
          </w:rPr>
          <w:t xml:space="preserve">4</w:t>
        </w:r>
      </w:hyperlink>
      <w:r>
        <w:t xml:space="preserve">.</w:t>
      </w:r>
    </w:p>
    <w:p>
      <w:pPr>
        <w:pStyle w:val="BodyText"/>
      </w:pPr>
      <w:r>
        <w:t xml:space="preserve">The scatter plots of all variables for different ranges of</w:t>
      </w:r>
      <w:r>
        <w:t xml:space="preserve"> </w:t>
      </w:r>
      <m:oMath>
        <m:r>
          <m:t>T</m:t>
        </m:r>
        <m:r>
          <m:t>E</m:t>
        </m:r>
        <m:r>
          <m:t>C</m:t>
        </m:r>
      </m:oMath>
      <w:r>
        <w:t xml:space="preserve"> </w:t>
      </w:r>
      <w:r>
        <w:t xml:space="preserve">values in Figure </w:t>
      </w:r>
      <w:hyperlink w:anchor="fig:dataset2scatterplot">
        <w:r>
          <w:rPr>
            <w:rStyle w:val="Hyperlink"/>
          </w:rPr>
          <w:t xml:space="preserve">5</w:t>
        </w:r>
      </w:hyperlink>
      <w:r>
        <w:t xml:space="preserve"> </w:t>
      </w:r>
      <w:r>
        <w:t xml:space="preserve">demonstrate that their distribution is not significantly dependent on</w:t>
      </w:r>
      <w:r>
        <w:t xml:space="preserve"> </w:t>
      </w:r>
      <m:oMath>
        <m:r>
          <m:t>T</m:t>
        </m:r>
        <m:r>
          <m:t>E</m:t>
        </m:r>
        <m:r>
          <m:t>C</m:t>
        </m:r>
      </m:oMath>
      <w:r>
        <w:t xml:space="preserve">.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w:t>
      </w:r>
      <w:r>
        <w:t xml:space="preserve"> </w:t>
      </w:r>
      <m:oMath>
        <m:r>
          <m:t>T</m:t>
        </m:r>
        <m:r>
          <m:t>E</m:t>
        </m:r>
        <m:r>
          <m:t>C</m:t>
        </m:r>
      </m:oMath>
      <w:r>
        <w:t xml:space="preserve"> </w:t>
      </w:r>
      <w:r>
        <w:t xml:space="preserve">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w:t>
      </w:r>
      <w:r>
        <w:t xml:space="preserve"> </w:t>
      </w:r>
      <m:oMath>
        <m:r>
          <m:t>T</m:t>
        </m:r>
        <m:r>
          <m:t>E</m:t>
        </m:r>
        <m:r>
          <m:t>C</m:t>
        </m:r>
      </m:oMath>
      <w:r>
        <w:t xml:space="preserve">, and in Figure </w:t>
      </w:r>
      <w:hyperlink w:anchor="fig:300TEC">
        <w:r>
          <w:rPr>
            <w:rStyle w:val="Hyperlink"/>
          </w:rPr>
          <w:t xml:space="preserve">7</w:t>
        </w:r>
      </w:hyperlink>
      <w:r>
        <w:t xml:space="preserve">, where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Table </w:t>
      </w:r>
      <w:hyperlink w:anchor="tab:minmax">
        <w:r>
          <w:rPr>
            <w:rStyle w:val="Hyperlink"/>
          </w:rPr>
          <w:t xml:space="preserve">9</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51" w:name="fig:dataset2boxplot"/>
    <w:p>
      <w:pPr>
        <w:pStyle w:val="CaptionedFigure"/>
      </w:pPr>
      <w:r>
        <w:drawing>
          <wp:inline>
            <wp:extent cx="3810000" cy="2540000"/>
            <wp:effectExtent b="0" l="0" r="0" t="0"/>
            <wp:docPr descr="" title="" id="49" name="Picture"/>
            <a:graphic>
              <a:graphicData uri="http://schemas.openxmlformats.org/drawingml/2006/picture">
                <pic:pic>
                  <pic:nvPicPr>
                    <pic:cNvPr descr="dataset2boxplot_fix.pdf" id="50" name="Picture"/>
                    <pic:cNvPicPr>
                      <a:picLocks noChangeArrowheads="1" noChangeAspect="1"/>
                    </pic:cNvPicPr>
                  </pic:nvPicPr>
                  <pic:blipFill>
                    <a:blip r:embed="rId4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w:t>
      </w:r>
      <w:r>
        <w:t xml:space="preserve"> </w:t>
      </w:r>
      <m:oMath>
        <m:r>
          <m:t>T</m:t>
        </m:r>
        <m:r>
          <m:t>E</m:t>
        </m:r>
        <m:r>
          <m:t>C</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1"/>
    <w:bookmarkStart w:id="55" w:name="fig:iono3boxplot"/>
    <w:p>
      <w:pPr>
        <w:pStyle w:val="CaptionedFigure"/>
      </w:pPr>
      <w:r>
        <w:drawing>
          <wp:inline>
            <wp:extent cx="3810000" cy="2540000"/>
            <wp:effectExtent b="0" l="0" r="0" t="0"/>
            <wp:docPr descr="" title="" id="53" name="Picture"/>
            <a:graphic>
              <a:graphicData uri="http://schemas.openxmlformats.org/drawingml/2006/picture">
                <pic:pic>
                  <pic:nvPicPr>
                    <pic:cNvPr descr="iono3boxplot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5"/>
    <w:bookmarkStart w:id="59" w:name="fig:iono3scatterplot"/>
    <w:p>
      <w:pPr>
        <w:pStyle w:val="CaptionedFigure"/>
      </w:pPr>
      <w:r>
        <w:drawing>
          <wp:inline>
            <wp:extent cx="4800600" cy="4800600"/>
            <wp:effectExtent b="0" l="0" r="0" t="0"/>
            <wp:docPr descr="" title="" id="57" name="Picture"/>
            <a:graphic>
              <a:graphicData uri="http://schemas.openxmlformats.org/drawingml/2006/picture">
                <pic:pic>
                  <pic:nvPicPr>
                    <pic:cNvPr descr="iono3scatterplot.pdf" id="58" name="Picture"/>
                    <pic:cNvPicPr>
                      <a:picLocks noChangeArrowheads="1" noChangeAspect="1"/>
                    </pic:cNvPicPr>
                  </pic:nvPicPr>
                  <pic:blipFill>
                    <a:blip r:embed="rId56"/>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9"/>
    <w:bookmarkStart w:id="63" w:name="fig:dataset2scatterplot"/>
    <w:p>
      <w:pPr>
        <w:pStyle w:val="CaptionedFigure"/>
      </w:pPr>
      <w:r>
        <w:drawing>
          <wp:inline>
            <wp:extent cx="4800600" cy="4800600"/>
            <wp:effectExtent b="0" l="0" r="0" t="0"/>
            <wp:docPr descr="" title="" id="61" name="Picture"/>
            <a:graphic>
              <a:graphicData uri="http://schemas.openxmlformats.org/drawingml/2006/picture">
                <pic:pic>
                  <pic:nvPicPr>
                    <pic:cNvPr descr="dataset2scatterplot.pdf" id="62" name="Picture"/>
                    <pic:cNvPicPr>
                      <a:picLocks noChangeArrowheads="1" noChangeAspect="1"/>
                    </pic:cNvPicPr>
                  </pic:nvPicPr>
                  <pic:blipFill>
                    <a:blip r:embed="rId60"/>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w:t>
      </w:r>
      <w:r>
        <w:t xml:space="preserve"> </w:t>
      </w:r>
      <m:oMath>
        <m:r>
          <m:t>T</m:t>
        </m:r>
        <m:r>
          <m:t>E</m:t>
        </m:r>
        <m:r>
          <m:t>C</m:t>
        </m:r>
      </m:oMath>
      <w:r>
        <w:t xml:space="preserve"> </w:t>
      </w:r>
      <w:r>
        <w:t xml:space="preserve">values without restriction.</w:t>
      </w:r>
    </w:p>
    <w:bookmarkEnd w:id="63"/>
    <w:bookmarkStart w:id="67" w:name="fig:allTEC"/>
    <w:p>
      <w:pPr>
        <w:pStyle w:val="CaptionedFigure"/>
      </w:pPr>
      <w:r>
        <w:drawing>
          <wp:inline>
            <wp:extent cx="3810000" cy="2540000"/>
            <wp:effectExtent b="0" l="0" r="0" t="0"/>
            <wp:docPr descr="" title="" id="65" name="Picture"/>
            <a:graphic>
              <a:graphicData uri="http://schemas.openxmlformats.org/drawingml/2006/picture">
                <pic:pic>
                  <pic:nvPicPr>
                    <pic:cNvPr descr="allTEC_fix.pdf" id="66" name="Picture"/>
                    <pic:cNvPicPr>
                      <a:picLocks noChangeArrowheads="1" noChangeAspect="1"/>
                    </pic:cNvPicPr>
                  </pic:nvPicPr>
                  <pic:blipFill>
                    <a:blip r:embed="rId6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w:t>
      </w:r>
      <w:r>
        <w:t xml:space="preserve"> </w:t>
      </w:r>
      <m:oMath>
        <m:r>
          <m:t>T</m:t>
        </m:r>
        <m:r>
          <m:t>E</m:t>
        </m:r>
        <m:r>
          <m:t>C</m:t>
        </m:r>
      </m:oMath>
      <w:r>
        <w:t xml:space="preserve">.</w:t>
      </w:r>
    </w:p>
    <w:bookmarkEnd w:id="67"/>
    <w:bookmarkStart w:id="71" w:name="fig:300TEC"/>
    <w:p>
      <w:pPr>
        <w:pStyle w:val="CaptionedFigure"/>
      </w:pPr>
      <w:r>
        <w:drawing>
          <wp:inline>
            <wp:extent cx="3810000" cy="2540000"/>
            <wp:effectExtent b="0" l="0" r="0" t="0"/>
            <wp:docPr descr="" title="" id="69" name="Picture"/>
            <a:graphic>
              <a:graphicData uri="http://schemas.openxmlformats.org/drawingml/2006/picture">
                <pic:pic>
                  <pic:nvPicPr>
                    <pic:cNvPr descr="300TEC_fix.pdf" id="70" name="Picture"/>
                    <pic:cNvPicPr>
                      <a:picLocks noChangeArrowheads="1" noChangeAspect="1"/>
                    </pic:cNvPicPr>
                  </pic:nvPicPr>
                  <pic:blipFill>
                    <a:blip r:embed="rId6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w:t>
      </w:r>
    </w:p>
    <w:bookmarkEnd w:id="71"/>
    <w:bookmarkStart w:id="72" w:name="tab:minmax"/>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m:oMath>
              <m:r>
                <m:t>T</m:t>
              </m:r>
              <m:r>
                <m:t>E</m:t>
              </m:r>
              <m:r>
                <m:t>C</m:t>
              </m:r>
            </m:oMath>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72"/>
    <w:bookmarkEnd w:id="73"/>
    <w:bookmarkStart w:id="74" w:name="data-preprocessing"/>
    <w:p>
      <w:pPr>
        <w:pStyle w:val="Heading3"/>
      </w:pPr>
      <w:r>
        <w:t xml:space="preserve">Data Preprocessing</w:t>
      </w:r>
    </w:p>
    <w:p>
      <w:pPr>
        <w:pStyle w:val="FirstParagraph"/>
      </w:pPr>
      <w:r>
        <w:t xml:space="preserve">Data preprocessing is recommended to increase classification accuracy citestuff(Fan2008), so this step was also applied to the input data before training the models in this study. There are many ways to standardize data, such as minimum-maximum, normalization by decimal scaling, and Z-score citestuff(Mohamad2013). Subtracting the mean and dividing by the variance for each feature are commonly used for SVM models citestuff(Fennell2019) 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74"/>
    <w:bookmarkStart w:id="75"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 citestuff(KuhnDataSplitting2024, hyndman2018forecasting, createDataPartition2024).</w:t>
      </w:r>
    </w:p>
    <w:bookmarkEnd w:id="75"/>
    <w:bookmarkEnd w:id="76"/>
    <w:bookmarkStart w:id="81" w:name="performance-metrics"/>
    <w:p>
      <w:pPr>
        <w:pStyle w:val="Heading2"/>
      </w:pPr>
      <w:r>
        <w:t xml:space="preserve">Performance Metrics</w:t>
      </w:r>
    </w:p>
    <w:bookmarkStart w:id="78"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 citestuff(kuhn2008building, altman1994diagnostic1, altman1994diagnostic2, velez2007balanced, confusionMatrix2024).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10</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77"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77"/>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 citestuff(binom.test2024, clopper1934use, conover1999practical, hollander2013nonparametric) to see if the accuracy is significantly larger than the No Information Rate (NIR) which is the percentage of the largest class.</w:t>
      </w:r>
    </w:p>
    <w:bookmarkEnd w:id="78"/>
    <w:bookmarkStart w:id="79" w:name="the-binomial-test"/>
    <w:p>
      <w:pPr>
        <w:pStyle w:val="Heading3"/>
      </w:pPr>
      <w:r>
        <w:t xml:space="preserve">The Binomial Test</w:t>
      </w:r>
    </w:p>
    <w:p>
      <w:pPr>
        <w:pStyle w:val="FirstParagraph"/>
      </w:pPr>
      <w:r>
        <w:t xml:space="preserve">The binomial test citestuff(howell1992statistical, graphpadGraphPadPrism) 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bookmarkEnd w:id="79"/>
    <w:bookmarkStart w:id="80"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 citestuff(mchugh2012interrater).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 citestuff(pontius2011death). Galton was the first to use a statistic similar to Cohen’s kappa in 1892 citestuff(galton1892finger, smeeton1985early). Jacob Cohen formally described the kappa coefficient in 1960 in the journal "Educational and Psychological Measurement" citestuff(cohen1960coefficient).</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 citestuff(sim2005kappa) 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 citestuff(chicco2021matthews) for the traditional confusion matrix for binary classifications in Table </w:t>
      </w:r>
      <w:hyperlink w:anchor="tab:cm">
        <w:r>
          <w:rPr>
            <w:rStyle w:val="Hyperlink"/>
          </w:rPr>
          <w:t xml:space="preserve">10</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oMath>
      </m:oMathPara>
    </w:p>
    <w:p>
      <w:pPr>
        <w:pStyle w:val="FirstParagraph"/>
      </w:pPr>
      <w:r>
        <w:t xml:space="preserve">In this scenario, Cohen’s Kappa equals the Heidke skill score introduced by Myrick Haskell Doolittle in 1888 citestuff(heidke1926berechnung, philosophical1887bulletin).</w:t>
      </w:r>
    </w:p>
    <w:bookmarkEnd w:id="80"/>
    <w:bookmarkEnd w:id="81"/>
    <w:bookmarkEnd w:id="82"/>
    <w:bookmarkStart w:id="98"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w:t>
      </w:r>
      <w:r>
        <w:t xml:space="preserve"> </w:t>
      </w:r>
      <m:oMath>
        <m:r>
          <m:t>D</m:t>
        </m:r>
        <m:r>
          <m:t>s</m:t>
        </m:r>
        <m:r>
          <m:t>t</m:t>
        </m:r>
      </m:oMath>
      <w:r>
        <w:t xml:space="preserve"> </w:t>
      </w:r>
      <w:r>
        <w:t xml:space="preserve">(no</w:t>
      </w:r>
      <w:r>
        <w:t xml:space="preserve"> </w:t>
      </w:r>
      <m:oMath>
        <m:r>
          <m:t>D</m:t>
        </m:r>
        <m:r>
          <m:t>s</m:t>
        </m:r>
        <m:r>
          <m:t>t</m:t>
        </m:r>
      </m:oMath>
      <w:r>
        <w:t xml:space="preserve">), all variables except</w:t>
      </w:r>
      <w:r>
        <w:t xml:space="preserve"> </w:t>
      </w:r>
      <m:oMath>
        <m:r>
          <m:t>D</m:t>
        </m:r>
        <m:r>
          <m:t>s</m:t>
        </m:r>
        <m:r>
          <m:t>t</m:t>
        </m:r>
      </m:oMath>
      <w:r>
        <w:t xml:space="preserve">,</w:t>
      </w:r>
      <w:r>
        <w:t xml:space="preserve"> </w:t>
      </w:r>
      <m:oMath>
        <m:r>
          <m:t>T</m:t>
        </m:r>
        <m:r>
          <m:t>E</m:t>
        </m:r>
        <m:r>
          <m:t>C</m:t>
        </m:r>
      </m:oMath>
      <w:r>
        <w:t xml:space="preserve">, and d</w:t>
      </w:r>
      <m:oMath>
        <m:r>
          <m:t>T</m:t>
        </m:r>
        <m:r>
          <m:t>E</m:t>
        </m:r>
        <m:r>
          <m:t>C</m:t>
        </m:r>
      </m:oMath>
      <w:r>
        <w:t xml:space="preserve"> </w:t>
      </w:r>
      <w:r>
        <w:t xml:space="preserve">(no</w:t>
      </w:r>
      <w:r>
        <w:t xml:space="preserve"> </w:t>
      </w:r>
      <m:oMath>
        <m:r>
          <m:t>T</m:t>
        </m:r>
        <m:r>
          <m:t>E</m:t>
        </m:r>
        <m:r>
          <m:t>C</m:t>
        </m:r>
      </m:oMath>
      <w:r>
        <w:t xml:space="preserve">),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11</w:t>
        </w:r>
      </w:hyperlink>
      <w:r>
        <w:t xml:space="preserve">, Table </w:t>
      </w:r>
      <w:hyperlink w:anchor="X22aa9a2c96c88dc3919ed52e744a8b54579bfae">
        <w:r>
          <w:rPr>
            <w:rStyle w:val="Hyperlink"/>
          </w:rPr>
          <w:t xml:space="preserve">12</w:t>
        </w:r>
      </w:hyperlink>
      <w:r>
        <w:t xml:space="preserve">, Table </w:t>
      </w:r>
      <w:hyperlink w:anchor="X242b2387369f2e2c47cfb3d8e8b42d97da8ce9c">
        <w:r>
          <w:rPr>
            <w:rStyle w:val="Hyperlink"/>
          </w:rPr>
          <w:t xml:space="preserve">13</w:t>
        </w:r>
      </w:hyperlink>
      <w:r>
        <w:t xml:space="preserve">, Table </w:t>
      </w:r>
      <w:hyperlink w:anchor="tab:stats:reverse:coord">
        <w:r>
          <w:rPr>
            <w:rStyle w:val="Hyperlink"/>
          </w:rPr>
          <w:t xml:space="preserve">14</w:t>
        </w:r>
      </w:hyperlink>
      <w:r>
        <w:t xml:space="preserve">, Table </w:t>
      </w:r>
      <w:hyperlink w:anchor="tab:stats:reverse:xyap">
        <w:r>
          <w:rPr>
            <w:rStyle w:val="Hyperlink"/>
          </w:rPr>
          <w:t xml:space="preserve">15</w:t>
        </w:r>
      </w:hyperlink>
      <w:r>
        <w:t xml:space="preserve">, Table </w:t>
      </w:r>
      <w:hyperlink w:anchor="tab:stats:reverse:xzap">
        <w:r>
          <w:rPr>
            <w:rStyle w:val="Hyperlink"/>
          </w:rPr>
          <w:t xml:space="preserve">16</w:t>
        </w:r>
      </w:hyperlink>
      <w:r>
        <w:t xml:space="preserve">, and Table </w:t>
      </w:r>
      <w:hyperlink w:anchor="tab:stats:reverse:yzap">
        <w:r>
          <w:rPr>
            <w:rStyle w:val="Hyperlink"/>
          </w:rPr>
          <w:t xml:space="preserve">17</w:t>
        </w:r>
      </w:hyperlink>
      <w:r>
        <w:t xml:space="preserve">.</w:t>
      </w:r>
    </w:p>
    <w:bookmarkStart w:id="83"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83"/>
    <w:bookmarkStart w:id="84"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84"/>
    <w:bookmarkStart w:id="85"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w:t>
      </w:r>
      <w:r>
        <w:t xml:space="preserve"> </w:t>
      </w:r>
      <m:oMath>
        <m:r>
          <m:t>D</m:t>
        </m:r>
        <m:r>
          <m:t>s</m:t>
        </m:r>
        <m:r>
          <m:t>t</m:t>
        </m:r>
      </m:oMath>
      <w:r>
        <w:t xml:space="preserve">,</w:t>
      </w:r>
      <w:r>
        <w:t xml:space="preserve"> </w:t>
      </w:r>
      <m:oMath>
        <m:r>
          <m:t>T</m:t>
        </m:r>
        <m:r>
          <m:t>E</m:t>
        </m:r>
        <m:r>
          <m:t>C</m:t>
        </m:r>
      </m:oMath>
      <w:r>
        <w:t xml:space="preserve">, and d</w:t>
      </w:r>
      <m:oMath>
        <m:r>
          <m:t>T</m:t>
        </m:r>
        <m:r>
          <m:t>E</m:t>
        </m:r>
        <m:r>
          <m:t>C</m:t>
        </m:r>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85"/>
    <w:bookmarkStart w:id="86"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86"/>
    <w:bookmarkStart w:id="87"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87"/>
    <w:bookmarkStart w:id="88"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88"/>
    <w:bookmarkStart w:id="89"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89"/>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 citestuff(system.time2024) for each model when using different combinations of variables as input is displayed in Table </w:t>
      </w:r>
      <w:hyperlink w:anchor="tab:time:total">
        <w:r>
          <w:rPr>
            <w:rStyle w:val="Hyperlink"/>
          </w:rPr>
          <w:t xml:space="preserve">18</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90"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w:t>
            </w:r>
            <w:r>
              <w:t xml:space="preserve"> </w:t>
            </w:r>
            <m:oMath>
              <m:r>
                <m:t>D</m:t>
              </m:r>
              <m:r>
                <m:t>s</m:t>
              </m:r>
              <m:r>
                <m:t>t</m:t>
              </m:r>
            </m:oMath>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w:t>
            </w:r>
            <w:r>
              <w:t xml:space="preserve"> </w:t>
            </w:r>
            <m:oMath>
              <m:r>
                <m:t>T</m:t>
              </m:r>
              <m:r>
                <m:t>E</m:t>
              </m:r>
              <m:r>
                <m:t>C</m:t>
              </m:r>
            </m:oMath>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90"/>
    <w:bookmarkStart w:id="97"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19</w:t>
        </w:r>
      </w:hyperlink>
      <w:r>
        <w:t xml:space="preserve"> </w:t>
      </w:r>
      <w:r>
        <w:t xml:space="preserve">and Table </w:t>
      </w:r>
      <w:hyperlink w:anchor="tab:cs:reverse:all:nb">
        <w:r>
          <w:rPr>
            <w:rStyle w:val="Hyperlink"/>
          </w:rPr>
          <w:t xml:space="preserve">20</w:t>
        </w:r>
      </w:hyperlink>
      <w:r>
        <w:t xml:space="preserve">. The same values when using all input variables except</w:t>
      </w:r>
      <w:r>
        <w:t xml:space="preserve"> </w:t>
      </w:r>
      <m:oMath>
        <m:r>
          <m:t>D</m:t>
        </m:r>
        <m:r>
          <m:t>s</m:t>
        </m:r>
        <m:r>
          <m:t>t</m:t>
        </m:r>
      </m:oMath>
      <w:r>
        <w:t xml:space="preserve"> </w:t>
      </w:r>
      <w:r>
        <w:t xml:space="preserve">are marked in Table </w:t>
      </w:r>
      <w:hyperlink w:anchor="tab:cm:no_DisturbanceStormTime:nb">
        <w:r>
          <w:rPr>
            <w:rStyle w:val="Hyperlink"/>
          </w:rPr>
          <w:t xml:space="preserve">21</w:t>
        </w:r>
      </w:hyperlink>
      <w:r>
        <w:t xml:space="preserve"> </w:t>
      </w:r>
      <w:r>
        <w:t xml:space="preserve">and Table </w:t>
      </w:r>
      <w:hyperlink w:anchor="Xaeecd2ecd40307013bc0d03f5868e5e72a85912">
        <w:r>
          <w:rPr>
            <w:rStyle w:val="Hyperlink"/>
          </w:rPr>
          <w:t xml:space="preserve">22</w:t>
        </w:r>
      </w:hyperlink>
      <w:r>
        <w:t xml:space="preserve">, and Table </w:t>
      </w:r>
      <w:hyperlink w:anchor="tab:cm:yzap:nb">
        <w:r>
          <w:rPr>
            <w:rStyle w:val="Hyperlink"/>
          </w:rPr>
          <w:t xml:space="preserve">23</w:t>
        </w:r>
      </w:hyperlink>
      <w:r>
        <w:t xml:space="preserve"> </w:t>
      </w:r>
      <w:r>
        <w:t xml:space="preserve">and Table </w:t>
      </w:r>
      <w:hyperlink w:anchor="tab:cs:reverse:yzap:nb">
        <w:r>
          <w:rPr>
            <w:rStyle w:val="Hyperlink"/>
          </w:rPr>
          <w:t xml:space="preserve">24</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91"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91"/>
    <w:bookmarkStart w:id="92"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92"/>
    <w:bookmarkStart w:id="93" w:name="tab:cm:no_DisturbanceStormTime:nb"/>
    <w:p>
      <w:pPr>
        <w:pStyle w:val="TableCaption"/>
      </w:pPr>
      <w:r>
        <w:t xml:space="preserve">The confusion matrix for the Naive Bayes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93"/>
    <w:bookmarkStart w:id="94" w:name="Xaeecd2ecd40307013bc0d03f5868e5e72a85912"/>
    <w:p>
      <w:pPr>
        <w:pStyle w:val="TableCaption"/>
      </w:pPr>
      <w:r>
        <w:t xml:space="preserve">The performance indicators derived from the confusion matrix for the Naive Bayes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94"/>
    <w:bookmarkStart w:id="95"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95"/>
    <w:bookmarkStart w:id="96"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96"/>
    <w:bookmarkEnd w:id="97"/>
    <w:bookmarkEnd w:id="98"/>
    <w:bookmarkStart w:id="99"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18</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11</w:t>
        </w:r>
      </w:hyperlink>
      <w:r>
        <w:t xml:space="preserve">, Table </w:t>
      </w:r>
      <w:hyperlink w:anchor="X22aa9a2c96c88dc3919ed52e744a8b54579bfae">
        <w:r>
          <w:rPr>
            <w:rStyle w:val="Hyperlink"/>
          </w:rPr>
          <w:t xml:space="preserve">12</w:t>
        </w:r>
      </w:hyperlink>
      <w:r>
        <w:t xml:space="preserve">, Table </w:t>
      </w:r>
      <w:hyperlink w:anchor="X242b2387369f2e2c47cfb3d8e8b42d97da8ce9c">
        <w:r>
          <w:rPr>
            <w:rStyle w:val="Hyperlink"/>
          </w:rPr>
          <w:t xml:space="preserve">13</w:t>
        </w:r>
      </w:hyperlink>
      <w:r>
        <w:t xml:space="preserve">, Table </w:t>
      </w:r>
      <w:hyperlink w:anchor="tab:stats:reverse:coord">
        <w:r>
          <w:rPr>
            <w:rStyle w:val="Hyperlink"/>
          </w:rPr>
          <w:t xml:space="preserve">14</w:t>
        </w:r>
      </w:hyperlink>
      <w:r>
        <w:t xml:space="preserve">, Table </w:t>
      </w:r>
      <w:hyperlink w:anchor="tab:stats:reverse:xyap">
        <w:r>
          <w:rPr>
            <w:rStyle w:val="Hyperlink"/>
          </w:rPr>
          <w:t xml:space="preserve">15</w:t>
        </w:r>
      </w:hyperlink>
      <w:r>
        <w:t xml:space="preserve">, Table </w:t>
      </w:r>
      <w:hyperlink w:anchor="tab:stats:reverse:xzap">
        <w:r>
          <w:rPr>
            <w:rStyle w:val="Hyperlink"/>
          </w:rPr>
          <w:t xml:space="preserve">16</w:t>
        </w:r>
      </w:hyperlink>
      <w:r>
        <w:t xml:space="preserve">, and Table </w:t>
      </w:r>
      <w:hyperlink w:anchor="tab:stats:reverse:yzap">
        <w:r>
          <w:rPr>
            <w:rStyle w:val="Hyperlink"/>
          </w:rPr>
          <w:t xml:space="preserve">17</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 citestuff(Zhang2004).</w:t>
      </w:r>
    </w:p>
    <w:p>
      <w:pPr>
        <w:pStyle w:val="BodyText"/>
      </w:pPr>
      <w:r>
        <w:t xml:space="preserve">All other models fail to achieve an accuracy over</w:t>
      </w:r>
      <w:r>
        <w:t xml:space="preserve"> </w:t>
      </w:r>
      <m:oMath>
        <m:r>
          <m:t>90</m:t>
        </m:r>
        <m:r>
          <m:rPr>
            <m:sty m:val="p"/>
          </m:rPr>
          <m:t>%</m:t>
        </m:r>
      </m:oMath>
      <w:r>
        <w:t xml:space="preserve">, except when using all input variables, including</w:t>
      </w:r>
      <w:r>
        <w:t xml:space="preserve"> </w:t>
      </w:r>
      <m:oMath>
        <m:r>
          <m:t>D</m:t>
        </m:r>
        <m:r>
          <m:t>s</m:t>
        </m:r>
        <m:r>
          <m:t>t</m:t>
        </m:r>
      </m:oMath>
      <w:r>
        <w:t xml:space="preserve">. The</w:t>
      </w:r>
      <w:r>
        <w:t xml:space="preserve"> </w:t>
      </w:r>
      <m:oMath>
        <m:r>
          <m:t>D</m:t>
        </m:r>
        <m:r>
          <m:t>s</m:t>
        </m:r>
        <m:r>
          <m:t>t</m:t>
        </m:r>
      </m:oMath>
      <w:r>
        <w:t xml:space="preserve"> </w:t>
      </w:r>
      <w:r>
        <w:t xml:space="preserve">class was derived by thresholding the continuous</w:t>
      </w:r>
      <w:r>
        <w:t xml:space="preserve"> </w:t>
      </w:r>
      <m:oMath>
        <m:r>
          <m:t>D</m:t>
        </m:r>
        <m:r>
          <m:t>s</m:t>
        </m:r>
        <m:r>
          <m:t>t</m:t>
        </m:r>
      </m:oMath>
      <w:r>
        <w:t xml:space="preserve"> </w:t>
      </w:r>
      <w:r>
        <w:t xml:space="preserve">value and discretizing it by converting it to a single character, so the original</w:t>
      </w:r>
      <w:r>
        <w:t xml:space="preserve"> </w:t>
      </w:r>
      <m:oMath>
        <m:r>
          <m:t>D</m:t>
        </m:r>
        <m:r>
          <m:t>s</m:t>
        </m:r>
        <m:r>
          <m:t>t</m:t>
        </m:r>
      </m:oMath>
      <w:r>
        <w:t xml:space="preserve"> </w:t>
      </w:r>
      <w:r>
        <w:t xml:space="preserve">value should not be used as model input. This labeling method explains the increase in accuracy when adding the</w:t>
      </w:r>
      <w:r>
        <w:t xml:space="preserve"> </w:t>
      </w:r>
      <m:oMath>
        <m:r>
          <m:t>D</m:t>
        </m:r>
        <m:r>
          <m:t>s</m:t>
        </m:r>
        <m:r>
          <m:t>t</m:t>
        </m:r>
      </m:oMath>
      <w:r>
        <w:t xml:space="preserve"> </w:t>
      </w:r>
      <w:r>
        <w:t xml:space="preserve">input variable in all except the two best-performing models. For example, the C5.0 DT model did not consider any variable except</w:t>
      </w:r>
      <w:r>
        <w:t xml:space="preserve"> </w:t>
      </w:r>
      <m:oMath>
        <m:r>
          <m:t>D</m:t>
        </m:r>
        <m:r>
          <m:t>s</m:t>
        </m:r>
        <m:r>
          <m:t>t</m:t>
        </m:r>
      </m:oMath>
      <w:r>
        <w:t xml:space="preserve">,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19</w:t>
        </w:r>
      </w:hyperlink>
      <w:r>
        <w:t xml:space="preserve">, Table </w:t>
      </w:r>
      <w:hyperlink w:anchor="tab:cs:reverse:all:nb">
        <w:r>
          <w:rPr>
            <w:rStyle w:val="Hyperlink"/>
          </w:rPr>
          <w:t xml:space="preserve">20</w:t>
        </w:r>
      </w:hyperlink>
      <w:r>
        <w:t xml:space="preserve">, Table </w:t>
      </w:r>
      <w:hyperlink w:anchor="tab:cm:no_DisturbanceStormTime:nb">
        <w:r>
          <w:rPr>
            <w:rStyle w:val="Hyperlink"/>
          </w:rPr>
          <w:t xml:space="preserve">21</w:t>
        </w:r>
      </w:hyperlink>
      <w:r>
        <w:t xml:space="preserve">, Table </w:t>
      </w:r>
      <w:hyperlink w:anchor="Xaeecd2ecd40307013bc0d03f5868e5e72a85912">
        <w:r>
          <w:rPr>
            <w:rStyle w:val="Hyperlink"/>
          </w:rPr>
          <w:t xml:space="preserve">22</w:t>
        </w:r>
      </w:hyperlink>
      <w:r>
        <w:t xml:space="preserve">, Table </w:t>
      </w:r>
      <w:hyperlink w:anchor="tab:cm:yzap:nb">
        <w:r>
          <w:rPr>
            <w:rStyle w:val="Hyperlink"/>
          </w:rPr>
          <w:t xml:space="preserve">23</w:t>
        </w:r>
      </w:hyperlink>
      <w:r>
        <w:t xml:space="preserve"> </w:t>
      </w:r>
      <w:r>
        <w:t xml:space="preserve">and Table </w:t>
      </w:r>
      <w:hyperlink w:anchor="tab:cs:reverse:yzap:nb">
        <w:r>
          <w:rPr>
            <w:rStyle w:val="Hyperlink"/>
          </w:rPr>
          <w:t xml:space="preserve">24</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w:t>
      </w:r>
      <w:r>
        <w:t xml:space="preserve"> </w:t>
      </w:r>
      <m:oMath>
        <m:r>
          <m:t>D</m:t>
        </m:r>
        <m:r>
          <m:t>s</m:t>
        </m:r>
        <m:r>
          <m:t>t</m:t>
        </m:r>
      </m:oMath>
      <w:r>
        <w:t xml:space="preserve"> </w:t>
      </w:r>
      <w:r>
        <w:t xml:space="preserve">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99"/>
    <w:bookmarkStart w:id="100"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w:t>
      </w:r>
      <w:r>
        <w:t xml:space="preserve"> </w:t>
      </w:r>
      <m:oMath>
        <m:r>
          <m:t>D</m:t>
        </m:r>
        <m:r>
          <m:t>s</m:t>
        </m:r>
        <m:r>
          <m:t>t</m:t>
        </m:r>
      </m:oMath>
      <w:r>
        <w:t xml:space="preserve">, not</w:t>
      </w:r>
      <w:r>
        <w:t xml:space="preserve"> </w:t>
      </w:r>
      <m:oMath>
        <m:r>
          <m:t>T</m:t>
        </m:r>
        <m:r>
          <m:t>E</m:t>
        </m:r>
        <m:r>
          <m:t>C</m:t>
        </m:r>
      </m:oMath>
      <w:r>
        <w:t xml:space="preserve">. Continuous</w:t>
      </w:r>
      <w:r>
        <w:t xml:space="preserve"> </w:t>
      </w:r>
      <m:oMath>
        <m:r>
          <m:t>D</m:t>
        </m:r>
        <m:r>
          <m:t>s</m:t>
        </m:r>
        <m:r>
          <m:t>t</m:t>
        </m:r>
      </m:oMath>
      <w:r>
        <w:t xml:space="preserve"> </w:t>
      </w:r>
      <w:r>
        <w:t xml:space="preserve">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w:t>
      </w:r>
      <w:r>
        <w:t xml:space="preserve"> </w:t>
      </w:r>
      <m:oMath>
        <m:r>
          <m:t>D</m:t>
        </m:r>
        <m:r>
          <m:t>s</m:t>
        </m:r>
        <m:r>
          <m:t>t</m:t>
        </m:r>
      </m:oMath>
      <w:r>
        <w:t xml:space="preserve">-based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100"/>
    <w:bookmarkStart w:id="101"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br/>
      </w:r>
      <w:r>
        <w:rPr>
          <w:i/>
          <w:iCs/>
        </w:rPr>
        <w:t xml:space="preserve">ANN</w:t>
      </w:r>
      <w:r>
        <w:t xml:space="preserve"> </w:t>
      </w:r>
      <w:r>
        <w:t xml:space="preserve">Artificial Neural Network</w:t>
      </w:r>
    </w:p>
    <w:p>
      <w:pPr>
        <w:pStyle w:val="BodyText"/>
      </w:pPr>
      <w:r>
        <w:br/>
      </w:r>
      <w:r>
        <w:rPr>
          <w:i/>
          <w:iCs/>
        </w:rPr>
        <w:t xml:space="preserve">BA</w:t>
      </w:r>
      <w:r>
        <w:t xml:space="preserve"> </w:t>
      </w:r>
      <w:r>
        <w:t xml:space="preserve">Balanced Accuracy</w:t>
      </w:r>
    </w:p>
    <w:p>
      <w:pPr>
        <w:pStyle w:val="BodyText"/>
      </w:pPr>
      <w:r>
        <w:br/>
      </w: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br/>
      </w: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br/>
      </w:r>
      <w:r>
        <w:rPr>
          <w:i/>
          <w:iCs/>
        </w:rPr>
        <w:t xml:space="preserve">EOF</w:t>
      </w:r>
      <w:r>
        <w:t xml:space="preserve"> </w:t>
      </w:r>
      <w:r>
        <w:t xml:space="preserve">Empirical Orthogonal Functions</w:t>
      </w:r>
    </w:p>
    <w:p>
      <w:pPr>
        <w:pStyle w:val="BodyText"/>
      </w:pPr>
      <w:r>
        <w:rPr>
          <w:i/>
          <w:iCs/>
        </w:rPr>
        <w:t xml:space="preserve">EPB</w:t>
      </w:r>
      <w:r>
        <w:t xml:space="preserve"> </w:t>
      </w:r>
      <w:r>
        <w:t xml:space="preserve">Equatorial Plasma Bubbles</w:t>
      </w:r>
    </w:p>
    <w:p>
      <w:pPr>
        <w:pStyle w:val="BodyText"/>
      </w:pPr>
      <w:r>
        <w:rPr>
          <w:i/>
          <w:iCs/>
        </w:rPr>
        <w:t xml:space="preserve">EUV</w:t>
      </w:r>
      <w:r>
        <w:t xml:space="preserve"> </w:t>
      </w:r>
      <w:r>
        <w:t xml:space="preserve">Extreme ultraviolet</w:t>
      </w:r>
    </w:p>
    <w:p>
      <w:pPr>
        <w:pStyle w:val="BodyText"/>
      </w:pPr>
      <w:r>
        <w:rPr>
          <w:i/>
          <w:iCs/>
        </w:rPr>
        <w:t xml:space="preserve">EVD</w:t>
      </w:r>
      <w:r>
        <w:t xml:space="preserve"> </w:t>
      </w:r>
      <w:r>
        <w:t xml:space="preserve">Eigenvalue Decomposition</w:t>
      </w:r>
    </w:p>
    <w:p>
      <w:pPr>
        <w:pStyle w:val="BodyText"/>
      </w:pPr>
      <w:r>
        <w:br/>
      </w: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br/>
      </w:r>
      <w:r>
        <w:rPr>
          <w:i/>
          <w:iCs/>
        </w:rPr>
        <w:t xml:space="preserve">GEC</w:t>
      </w:r>
      <w:r>
        <w:t xml:space="preserve"> </w:t>
      </w:r>
      <w:r>
        <w:t xml:space="preserve">Global Electric Current</w:t>
      </w:r>
    </w:p>
    <w:p>
      <w:pPr>
        <w:pStyle w:val="BodyText"/>
      </w:pPr>
      <w:r>
        <w:rPr>
          <w:i/>
          <w:iCs/>
        </w:rPr>
        <w:t xml:space="preserve">GFZ</w:t>
      </w:r>
      <w:r>
        <w:t xml:space="preserve"> </w:t>
      </w:r>
      <w:r>
        <w:t xml:space="preserve">German Research Centre for Geosciences</w:t>
      </w:r>
    </w:p>
    <w:p>
      <w:pPr>
        <w:pStyle w:val="BodyText"/>
      </w:pP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br/>
      </w:r>
      <w:r>
        <w:rPr>
          <w:i/>
          <w:iCs/>
        </w:rPr>
        <w:t xml:space="preserve">KLT</w:t>
      </w:r>
      <w:r>
        <w:t xml:space="preserve"> </w:t>
      </w:r>
      <w:r>
        <w:t xml:space="preserve">Karhunen–Loève Theorem</w:t>
      </w:r>
    </w:p>
    <w:p>
      <w:pPr>
        <w:pStyle w:val="BodyText"/>
      </w:pPr>
      <w:r>
        <w:br/>
      </w:r>
      <w:r>
        <w:rPr>
          <w:i/>
          <w:iCs/>
        </w:rPr>
        <w:t xml:space="preserve">LDA</w:t>
      </w:r>
      <w:r>
        <w:t xml:space="preserve"> </w:t>
      </w:r>
      <w:r>
        <w:t xml:space="preserve">Linear Discriminant Analysis</w:t>
      </w:r>
    </w:p>
    <w:p>
      <w:pPr>
        <w:pStyle w:val="BodyText"/>
      </w:pPr>
      <w:r>
        <w:br/>
      </w: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br/>
      </w:r>
      <w:r>
        <w:rPr>
          <w:i/>
          <w:iCs/>
        </w:rPr>
        <w:t xml:space="preserve">NAS</w:t>
      </w:r>
      <w:r>
        <w:t xml:space="preserve"> </w:t>
      </w:r>
      <w:r>
        <w:t xml:space="preserve">Neural Architecture Search</w:t>
      </w:r>
    </w:p>
    <w:p>
      <w:pPr>
        <w:pStyle w:val="BodyText"/>
      </w:pPr>
      <w:r>
        <w:rPr>
          <w:i/>
          <w:iCs/>
        </w:rPr>
        <w:t xml:space="preserve">NASA</w:t>
      </w:r>
      <w:r>
        <w:t xml:space="preserve"> </w:t>
      </w:r>
      <w:r>
        <w:t xml:space="preserve">National Aeronautics and Space Administration</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NOAA</w:t>
      </w:r>
      <w:r>
        <w:t xml:space="preserve"> </w:t>
      </w:r>
      <w:r>
        <w:t xml:space="preserve">National Oceanic and Atmospheric Administration</w:t>
      </w:r>
    </w:p>
    <w:p>
      <w:pPr>
        <w:pStyle w:val="BodyText"/>
      </w:pPr>
      <w:r>
        <w:rPr>
          <w:i/>
          <w:iCs/>
        </w:rPr>
        <w:t xml:space="preserve">NPV</w:t>
      </w:r>
      <w:r>
        <w:t xml:space="preserve"> </w:t>
      </w:r>
      <w:r>
        <w:t xml:space="preserve">Negative Predictive Value</w:t>
      </w:r>
    </w:p>
    <w:p>
      <w:pPr>
        <w:pStyle w:val="BodyText"/>
      </w:pPr>
      <w:r>
        <w:rPr>
          <w:i/>
          <w:iCs/>
        </w:rPr>
        <w:t xml:space="preserve">NRCAN</w:t>
      </w:r>
      <w:r>
        <w:t xml:space="preserve"> </w:t>
      </w:r>
      <w:r>
        <w:t xml:space="preserve">Natural Resources Canada</w:t>
      </w:r>
    </w:p>
    <w:p>
      <w:pPr>
        <w:pStyle w:val="BodyText"/>
      </w:pPr>
      <w:r>
        <w:br/>
      </w: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br/>
      </w: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br/>
      </w:r>
      <w:r>
        <w:rPr>
          <w:i/>
          <w:iCs/>
        </w:rPr>
        <w:t xml:space="preserve">SAR</w:t>
      </w:r>
      <w:r>
        <w:t xml:space="preserve"> </w:t>
      </w:r>
      <w:r>
        <w:t xml:space="preserve">Synthetic Aperture Radar</w:t>
      </w:r>
    </w:p>
    <w:p>
      <w:pPr>
        <w:pStyle w:val="BodyText"/>
      </w:pPr>
      <w:r>
        <w:rPr>
          <w:i/>
          <w:iCs/>
        </w:rPr>
        <w:t xml:space="preserve">SPDF</w:t>
      </w:r>
      <w:r>
        <w:t xml:space="preserve"> </w:t>
      </w:r>
      <w:r>
        <w:t xml:space="preserve">Space Physics Data Facility</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rPr>
          <w:i/>
          <w:iCs/>
        </w:rPr>
        <w:t xml:space="preserve">SWPC</w:t>
      </w:r>
      <w:r>
        <w:t xml:space="preserve"> </w:t>
      </w:r>
      <w:r>
        <w:t xml:space="preserve">Space Weather Prediction Center</w:t>
      </w:r>
    </w:p>
    <w:p>
      <w:pPr>
        <w:pStyle w:val="BodyText"/>
      </w:pPr>
      <w:r>
        <w:br/>
      </w: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TID</w:t>
      </w:r>
      <w:r>
        <w:t xml:space="preserve"> </w:t>
      </w:r>
      <w:r>
        <w:t xml:space="preserve">Traveling Ionospheric Disturbance</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p>
      <w:pPr>
        <w:pStyle w:val="BodyText"/>
      </w:pPr>
      <w:r>
        <w:br/>
      </w:r>
      <w:r>
        <w:rPr>
          <w:i/>
          <w:iCs/>
        </w:rPr>
        <w:t xml:space="preserve">dTEC</w:t>
      </w:r>
      <w:r>
        <w:t xml:space="preserve"> </w:t>
      </w:r>
      <w:r>
        <w:t xml:space="preserve">detrended Total Electron Content</w:t>
      </w:r>
    </w:p>
    <w:bookmarkEnd w:id="101"/>
    <w:bookmarkStart w:id="108" w:name="declarations"/>
    <w:p>
      <w:pPr>
        <w:pStyle w:val="Heading1"/>
      </w:pPr>
      <w:r>
        <w:t xml:space="preserve">Declarations</w:t>
      </w:r>
    </w:p>
    <w:bookmarkStart w:id="102"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102"/>
    <w:bookmarkStart w:id="103" w:name="competing-interests"/>
    <w:p>
      <w:pPr>
        <w:pStyle w:val="Heading2"/>
      </w:pPr>
      <w:r>
        <w:t xml:space="preserve">Competing interests</w:t>
      </w:r>
    </w:p>
    <w:p>
      <w:pPr>
        <w:pStyle w:val="FirstParagraph"/>
      </w:pPr>
      <w:r>
        <w:t xml:space="preserve">The authors declare no conflict of interest.</w:t>
      </w:r>
    </w:p>
    <w:bookmarkEnd w:id="103"/>
    <w:bookmarkStart w:id="104" w:name="funding"/>
    <w:p>
      <w:pPr>
        <w:pStyle w:val="Heading2"/>
      </w:pPr>
      <w:r>
        <w:t xml:space="preserve">Funding</w:t>
      </w:r>
    </w:p>
    <w:p>
      <w:pPr>
        <w:pStyle w:val="FirstParagraph"/>
      </w:pPr>
      <w:r>
        <w:t xml:space="preserve">This work was fully supported by</w:t>
      </w:r>
    </w:p>
    <w:bookmarkEnd w:id="104"/>
    <w:bookmarkStart w:id="105"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105"/>
    <w:bookmarkStart w:id="106" w:name="acknowledgements"/>
    <w:p>
      <w:pPr>
        <w:pStyle w:val="Heading2"/>
      </w:pPr>
      <w:r>
        <w:t xml:space="preserve">Acknowledgements</w:t>
      </w:r>
    </w:p>
    <w:p>
      <w:pPr>
        <w:pStyle w:val="FirstParagraph"/>
      </w:pPr>
      <w:r>
        <w:t xml:space="preserve">This work was fully supported by</w:t>
      </w:r>
    </w:p>
    <w:bookmarkEnd w:id="106"/>
    <w:bookmarkStart w:id="107"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bookmarkEnd w:id="107"/>
    <w:bookmarkEnd w:id="10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8" Target="media/rId68.pdf" /><Relationship Type="http://schemas.openxmlformats.org/officeDocument/2006/relationships/image" Id="rId64" Target="media/rId64.pdf" /><Relationship Type="http://schemas.openxmlformats.org/officeDocument/2006/relationships/image" Id="rId44" Target="media/rId44.pdf" /><Relationship Type="http://schemas.openxmlformats.org/officeDocument/2006/relationships/image" Id="rId48" Target="media/rId48.pdf" /><Relationship Type="http://schemas.openxmlformats.org/officeDocument/2006/relationships/image" Id="rId60" Target="media/rId60.pdf" /><Relationship Type="http://schemas.openxmlformats.org/officeDocument/2006/relationships/image" Id="rId52" Target="media/rId52.pdf" /><Relationship Type="http://schemas.openxmlformats.org/officeDocument/2006/relationships/image" Id="rId56" Target="media/rId56.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2024-10-17T17:08:45Z</dcterms:created>
  <dcterms:modified xsi:type="dcterms:W3CDTF">2024-10-17T17:08:45Z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ies>
</file>