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w:t>
      </w:r>
    </w:p>
    <w:p>
      <w:pPr>
        <w:pStyle w:val="BodyText"/>
      </w:pPr>
      <w:r>
        <w:t xml:space="preserve">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filic2018modelling).</w:t>
      </w:r>
    </w:p>
    <w:p>
      <w:pPr>
        <w:pStyle w:val="BodyText"/>
      </w:pPr>
      <w:r>
        <w:t xml:space="preserve">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w:t>
      </w:r>
    </w:p>
    <w:p>
      <w:pPr>
        <w:pStyle w:val="BodyText"/>
      </w:pPr>
      <w:r>
        <w:t xml:space="preserve">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w:t>
      </w:r>
    </w:p>
    <w:p>
      <w:pPr>
        <w:pStyle w:val="BodyText"/>
      </w:pPr>
      <w:r>
        <w:t xml:space="preserve">How space weather affects GNSS PNT performance was explained using the Space weather – GNSS PNT performance coupling model citestuff(filic2018modelling),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Current space weather severity scales, such as the one provided by National Oceanic and Atmospheric Administration (NOAA) citestuff(NOAA2024eSpace),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citestuff(Cortes1995), or outlier detection citestuff(scikit-learn2023). SVM models are also effective for non-linear classification using the hyperplane kernel trick citestuff(Boser1992, Aizerman1964). Intuitively, a good separation is achieved by the hyperplane with the greatest distance to the nearest point in the training data belonging to any class citestuff(HastieRosset2009). Support Vector Clustering (SVC) citestuff(BenHur2001) is a related method for clustering unlabeled data.</w:t>
      </w:r>
    </w:p>
    <w:p>
      <w:pPr>
        <w:pStyle w:val="BodyText"/>
      </w:pPr>
      <w:r>
        <w:t xml:space="preserve">Meyer, Leisch, and Hornik compared SVM models with other classifiers citestuff(Meyer2003).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citestuff(Hsu2003).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citestuff(Rokach2014), and machine learning. Classification trees use a discrete target variable, while regression trees can handle continuous values citestuff(Studer2011). DT models are popular due to their comprehensibility and simplicity citestuff(Wu2008).</w:t>
      </w:r>
    </w:p>
    <w:p>
      <w:pPr>
        <w:pStyle w:val="BodyText"/>
      </w:pPr>
      <w:r>
        <w:t xml:space="preserve">A tree is recursively partitioned by dividing the original set, or root node, into subsets that form descendants, or successors, using classification rules based on features citestuff(ShalevShwartz2014). This process of Top-Down Induction of Decision Trees (TDIDT) citestuff(Quinlan1986) is an example of a greedy algorithm that is the most common strategy for learning DT models from data citestuff(Rokach2005).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These classifiers are among the simplest Bayesian network models citestuff(McCallum2011), but a NB classifier model is not necessarily a Bayesian method. Maximum likelihood training evaluates a closed-form expression citestuff(Russell1999) in linear time instead of using iterative approximation.</w:t>
      </w:r>
    </w:p>
    <w:p>
      <w:pPr>
        <w:pStyle w:val="BodyText"/>
      </w:pPr>
      <w:r>
        <w:t xml:space="preserve">Despite their simplicity, NB classifier models have performed well in real-world situations citestuff(Metsis2006). However, a comprehensive comparison in 2006 showed that Bayesian classification performed worse than boosted trees or Random Forest (RF) citestuff(Caruana2006). An advantage of NB over other models is a smaller amount of training data citestuff(John2013, Mccallum2001).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citestuff(Murty2011).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NN models typically contain only a few hidden layers for processing between the input layer that receives the data and the final layer that produces the output citestuff(olden2002illuminating, ozesmi1999artificial). A network with at least two hidden layers citestuff(bishop2006pattern) is a deep NN model.</w:t>
      </w:r>
    </w:p>
    <w:p>
      <w:pPr>
        <w:pStyle w:val="BodyText"/>
      </w:pPr>
      <w:r>
        <w:t xml:space="preserve">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w:t>
      </w:r>
    </w:p>
    <w:p>
      <w:pPr>
        <w:pStyle w:val="BodyText"/>
      </w:pPr>
      <w:r>
        <w:t xml:space="preserve">Principal Component Analysis (PCA) citestuff(pearson1901liii, 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 citestuff(lindgren1993kernel) but onto loadings instead citestuff(de1994comments, dayal1997improved). Many versions of PLS exist citestuff(de1993simpls, rannar1994pls)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citestuff(fisher1936use, mclachlan2005discriminant)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and variable interactions are automatically noted citestuff(hastie1994flexible). FDA is complex but execution time and computational load are adequate citestuff(reynes2006choice). The algorithm is not largely affected by outliers citestuff(phillips2017applying).</w:t>
      </w:r>
    </w:p>
    <w:p>
      <w:pPr>
        <w:pStyle w:val="BodyText"/>
      </w:pPr>
      <w:r>
        <w:t xml:space="preserve">Changed settings significantly alter FDA citestuff(hallgren2019species), and estimation might fail if predictors are correlated. FDA is prone to overfitting citestuff(thuiller2016ensemble), and challenging to comprehend citestuff(quillfeldt2017influence). Feature normality and equal group covariances are assumed citestuff(zhang2019using, wetcher2011analyzing).</w:t>
      </w:r>
    </w:p>
    <w:p>
      <w:pPr>
        <w:pStyle w:val="BodyText"/>
      </w:pPr>
      <w:r>
        <w:t xml:space="preserve">LDA, Normal Discriminant Analysis (NDA), or discriminant function analysis citestuff(cohen2013applied) is a generalization of Fisher’s linear discriminant defined in 1936 citestuff(fisher1936use, archive765Discriminant, rao1948utilization). The results of LDA may be utilized directly, as demonstrated in this experiment, but they are more often used to reduce dimensionality citestuff(hansen2005using).</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citestuff(klobuchar1986design, zolesi2014ionospheric). Changes in the ionosphere include the density distribution,</w:t>
      </w:r>
      <w:r>
        <w:t xml:space="preserve"> </w:t>
      </w:r>
      <m:oMath>
        <m:r>
          <m:t>T</m:t>
        </m:r>
        <m:r>
          <m:t>E</m:t>
        </m:r>
        <m:r>
          <m:t>C</m:t>
        </m:r>
      </m:oMath>
      <w:r>
        <w:t xml:space="preserve">, and the current balance citestuff(komjathy2023global).</w:t>
      </w:r>
    </w:p>
    <w:p>
      <w:pPr>
        <w:pStyle w:val="BodyText"/>
      </w:pPr>
      <w:r>
        <w:t xml:space="preserve">Geomagnetic storms cause signal deterioration by affecting Global Electric Current (GEC) variability citestuff(NOAA2024aRadioCommunications). The ionosphere may show changes related to location, geomagnetic and solar activity, sunspots, local time citestuff(kotz2005encyclopedia), seasonality, thunderstorms citestuff(vellinov1992ionospheric), nuclear experiments, earthquakes citestuff(liu20142013), and other phenomena.</w:t>
      </w:r>
    </w:p>
    <w:p>
      <w:pPr>
        <w:pStyle w:val="BodyText"/>
      </w:pPr>
      <w:r>
        <w:t xml:space="preserve">Many parameters can describe the Earth’s geomagnetic field citestuff(ulukavak2018analysis).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melnikov1990relationships).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citestuff(Android2024SensorTypes),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citestuff(de2007ionosphere),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citestuff(NOAA2024bKindex)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citestuff(Matzka2024)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citestuff(NOAA2024cAlertsWatches)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citestuff(Papitashvili2024About, Papitashvili2024Explorer)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citestuff(Matzka2021a) and a scientific publication citestuff(Matzka2021b)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citestuff(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citestuff(NOAA2024gGeomagneticIndices)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citestuff(NOAA2024bKindex).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citestuff(NOAA2024gGeomagneticIndices).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r>
            <m:t> </m:t>
          </m:r>
          <m:d>
            <m:dPr>
              <m:begChr m:val="("/>
              <m:endChr m:val=")"/>
              <m:sepChr m:val=""/>
              <m:grow/>
            </m:dPr>
            <m:e>
              <m:r>
                <m:t>6</m:t>
              </m:r>
            </m:e>
          </m:d>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citestuff(NOAA2024bKindex).</w:t>
      </w:r>
    </w:p>
    <w:tbl>
      <w:tblPr>
        <w:tblStyle w:val="Table"/>
        <w:tblW w:type="auto" w:w="0"/>
        <w:tblLook w:firstRow="1" w:lastRow="0" w:firstColumn="0" w:lastColumn="0" w:noHBand="0" w:noVBand="0" w:val="0020"/>
        <w:tblCaption w:val="The a-index values for each K-index, from citestuff(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citestuff(NOAA2024gGeomagneticIndices).</w:t>
      </w:r>
    </w:p>
    <w:tbl>
      <w:tblPr>
        <w:tblStyle w:val="Table"/>
        <w:tblW w:type="auto" w:w="0"/>
        <w:tblLook w:firstRow="1" w:lastRow="0" w:firstColumn="0" w:lastColumn="0" w:noHBand="0" w:noVBand="0" w:val="0020"/>
        <w:tblCaption w:val="The a_{p}-index values for each K_{p}-index, from citestuff(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citestuff(Papitashvili2024About, Papitashvili2024Explorer), and the Geomagnetism and Space Magnetism Data Analysis Center of the Institute of Science, Kyoto University in Japan.</w:t>
      </w:r>
    </w:p>
    <w:p>
      <w:pPr>
        <w:pStyle w:val="BodyText"/>
      </w:pPr>
      <w:r>
        <w:t xml:space="preserve">Loewe and Prölss citestuff(loewe1997classification)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citestuff(gonzalez1994geomagnetic) used three groups for the same data in 1994, as shown in Table </w:t>
      </w:r>
      <w:hyperlink w:anchor="tab:gonzalez1994">
        <w:r>
          <w:rPr>
            <w:rStyle w:val="Hyperlink"/>
          </w:rPr>
          <w:t xml:space="preserve">7</w:t>
        </w:r>
      </w:hyperlink>
      <w:r>
        <w:t xml:space="preserve">, similar to Kamide et al. in 1998 citestuff(kamide1998two), Rozhnoi et al. in 2004 citestuff(rozhnoi2004middle), and Contadakis et al. in 2012 citestuff(contadakis2012total).</w:t>
      </w:r>
    </w:p>
    <w:bookmarkStart w:id="37" w:name="tab:loewe1997"/>
    <w:p>
      <w:pPr>
        <w:pStyle w:val="TableCaption"/>
      </w:pPr>
      <w:r>
        <w:t xml:space="preserve">Storm classification from Loewe and Prölss, in 1997 citestuff(loewe1997classification).</w:t>
      </w:r>
    </w:p>
    <w:tbl>
      <w:tblPr>
        <w:tblStyle w:val="Table"/>
        <w:tblW w:type="auto" w:w="0"/>
        <w:tblLook w:firstRow="0" w:lastRow="0" w:firstColumn="0" w:lastColumn="0" w:noHBand="0" w:noVBand="0" w:val="0000"/>
        <w:tblCaption w:val="Storm classification from Loewe and Prölss, in 1997 citestuff(loewe1997classification)."/>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citestuff(gonzalez1994geomagnetic).</w:t>
      </w:r>
    </w:p>
    <w:tbl>
      <w:tblPr>
        <w:tblStyle w:val="Table"/>
        <w:tblW w:type="auto" w:w="0"/>
        <w:tblLook w:firstRow="0" w:lastRow="0" w:firstColumn="0" w:lastColumn="0" w:noHBand="0" w:noVBand="0" w:val="0000"/>
        <w:tblCaption w:val="Storm classification from Gonzales et al., in 1994 citestuff(gonzalez1994geomagnetic)."/>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citestuff(KuhnDataSplitting2024, hyndman2018forecasting, createDataPartition2024).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citestuff(loewe1997classification).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citestuff(ks.test2024) and</w:t>
      </w:r>
      <w:r>
        <w:t xml:space="preserve"> </w:t>
      </w:r>
      <w:r>
        <w:rPr>
          <w:i/>
          <w:iCs/>
        </w:rPr>
        <w:t xml:space="preserve">shapiro.test</w:t>
      </w:r>
      <w:r>
        <w:t xml:space="preserve"> </w:t>
      </w:r>
      <w:r>
        <w:t xml:space="preserve">citestuff(shapiro.test2024),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confusionMatrix2024).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citestuff(altman1994diagnostic1, altman1994diagnostic2).</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citestuff(velez2007balanced)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citestuff(system.time2024)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2024-10-27T11:34:10Z</dcterms:created>
  <dcterms:modified xsi:type="dcterms:W3CDTF">2024-10-27T11:34:10Z</dcterms:modified>
</cp:coreProperties>
</file>

<file path=docProps/custom.xml><?xml version="1.0" encoding="utf-8"?>
<Properties xmlns="http://schemas.openxmlformats.org/officeDocument/2006/custom-properties" xmlns:vt="http://schemas.openxmlformats.org/officeDocument/2006/docPropsVTypes"/>
</file>