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1.png" ContentType="image/png"/>
  <Override PartName="/word/media/rId31.png" ContentType="image/png"/>
  <Override PartName="/word/media/rId35.png" ContentType="image/png"/>
  <Override PartName="/word/media/rId47.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r>
        <w:t xml:space="preserve">Lucija Žužić</w:t>
      </w:r>
    </w:p>
    <w:p>
      <w:pPr>
        <w:pStyle w:val="Author"/>
      </w:pPr>
      <w:r>
        <w:t xml:space="preserve">Deni Klen</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w:t>
      </w:r>
      <m:oMath>
        <m:r>
          <m:t>T</m:t>
        </m:r>
        <m:r>
          <m:t>E</m:t>
        </m:r>
        <m:r>
          <m:t>C</m:t>
        </m:r>
      </m:oMath>
      <w:r>
        <w:t xml:space="preserve">), and Disturbance Storm-Time (</w:t>
      </w:r>
      <m:oMath>
        <m:r>
          <m:t>D</m:t>
        </m:r>
        <m:r>
          <m:t>s</m:t>
        </m:r>
        <m:r>
          <m:t>t</m:t>
        </m:r>
      </m:oMath>
      <w:r>
        <w:t xml:space="preserve">)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w:t>
      </w:r>
      <w:r>
        <w:t xml:space="preserve"> </w:t>
      </w:r>
      <m:oMath>
        <m:r>
          <m:t>T</m:t>
        </m:r>
        <m:r>
          <m:t>E</m:t>
        </m:r>
        <m:r>
          <m:t>C</m:t>
        </m:r>
      </m:oMath>
      <w:r>
        <w:t xml:space="preserve">, combined with other variables, into one of the scenarios of space weather conditions. Performance is assessed using a confusion matrix and development time to yield the Naive Bayes as the best performer. The proposed</w:t>
      </w:r>
      <w:r>
        <w:t xml:space="preserve"> </w:t>
      </w:r>
      <m:oMath>
        <m:r>
          <m:t>D</m:t>
        </m:r>
        <m:r>
          <m:t>s</m:t>
        </m:r>
        <m:r>
          <m:t>t</m:t>
        </m:r>
      </m:oMath>
      <w:r>
        <w:t xml:space="preserve">-based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w:t>
      </w:r>
      <m:oMath>
        <m:r>
          <m:t>T</m:t>
        </m:r>
        <m:r>
          <m:t>E</m:t>
        </m:r>
        <m:r>
          <m:t>C</m:t>
        </m:r>
      </m:oMath>
      <w:r>
        <w:t xml:space="preserve">) ,Disturbance Storm-Time (</w:t>
      </w:r>
      <m:oMath>
        <m:r>
          <m:t>D</m:t>
        </m:r>
        <m:r>
          <m:t>s</m:t>
        </m:r>
        <m:r>
          <m:t>t</m:t>
        </m:r>
      </m:oMath>
      <w:r>
        <w:t xml:space="preserve">) index</w:t>
      </w:r>
    </w:p>
    <w:bookmarkStart w:id="20"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 50 km to 2000 km 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w:t>
      </w:r>
      <w:r>
        <w:t xml:space="preserve"> </w:t>
      </w:r>
      <w:r>
        <w:t xml:space="preserve">, as depicted in Table </w:t>
      </w:r>
      <w:hyperlink w:anchor="Xcd98f75463a4f9443cea1890b285c3eb94af900">
        <w:r>
          <w:rPr>
            <w:rStyle w:val="Hyperlink"/>
          </w:rPr>
          <w:t xml:space="preserve">[tab:Space weather – GNSS PNT performance coupling model]</w:t>
        </w:r>
      </w:hyperlink>
    </w:p>
    <w:p>
      <w:pPr>
        <w:pStyle w:val="BodyText"/>
      </w:pPr>
      <w:r>
        <w:t xml:space="preserve">The GNSS signal encounters a certain number of charged particles from the satellite aerial to a mobile unit’s (GNSS receiver’s)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bookmarkEnd w:id="20"/>
    <w:bookmarkStart w:id="68" w:name="method-and-data"/>
    <w:p>
      <w:pPr>
        <w:pStyle w:val="Heading1"/>
      </w:pPr>
      <w:r>
        <w:t xml:space="preserve">Method and Data</w:t>
      </w:r>
    </w:p>
    <w:bookmarkStart w:id="30"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 This Python code example is based on a book by Liu</w:t>
      </w:r>
      <w:r>
        <w:t xml:space="preserve"> </w:t>
      </w:r>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a good separation is achieved by the hyperplane with the greatest distance to the nearest point in the training data belonging to any class (the so-called functional margin), because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4,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4</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5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5</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6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6</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7.</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7</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8.</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8</m:t>
              </m:r>
            </m:e>
          </m:d>
        </m:oMath>
      </m:oMathPara>
    </w:p>
    <w:p>
      <w:pPr>
        <w:pStyle w:val="FirstParagraph"/>
      </w:pPr>
      <w:r>
        <w:t xml:space="preserve">Using natural language and Bayesian probability terminology, the above equation can be written in a form presented in Equation 9.</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9</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10.</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10</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11</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11</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12.</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12</m:t>
              </m:r>
            </m:e>
          </m:d>
        </m:oMath>
      </m:oMathPara>
    </w:p>
    <w:p>
      <w:pPr>
        <w:pStyle w:val="FirstParagraph"/>
      </w:pPr>
      <w:r>
        <w:t xml:space="preserve">The proof in Equation 13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13</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14.</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14</m:t>
              </m:r>
            </m:e>
          </m:d>
        </m:oMath>
      </m:oMathPara>
    </w:p>
    <w:p>
      <w:pPr>
        <w:pStyle w:val="FirstParagraph"/>
      </w:pPr>
      <w:r>
        <w:t xml:space="preserve">The a priori probability for each class can be calculated using Equation 15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15</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16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16</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17.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17</m:t>
              </m:r>
            </m:e>
          </m:d>
        </m:oMath>
      </m:oMathPara>
    </w:p>
    <w:p>
      <w:pPr>
        <w:pStyle w:val="FirstParagraph"/>
      </w:pPr>
      <w:r>
        <w:t xml:space="preserve">The expressions</w:t>
      </w:r>
      <w:r>
        <w:t xml:space="preserve"> </w:t>
      </w:r>
      <m:oMath>
        <m:r>
          <m:t>X</m:t>
        </m:r>
        <m:r>
          <m:rPr>
            <m:sty m:val="p"/>
          </m:rPr>
          <m:t>=</m:t>
        </m:r>
        <m:r>
          <m:t>T</m:t>
        </m:r>
        <m:sSup>
          <m:e>
            <m:r>
              <m:t>P</m:t>
            </m:r>
          </m:e>
          <m:sup>
            <m:r>
              <m:rPr>
                <m:sty m:val="p"/>
              </m:rPr>
              <m:t>T</m:t>
            </m:r>
          </m:sup>
        </m:sSup>
        <m:r>
          <m:rPr>
            <m:sty m:val="p"/>
          </m:rPr>
          <m:t>+</m:t>
        </m:r>
        <m:r>
          <m:t>E</m:t>
        </m:r>
      </m:oMath>
      <w:r>
        <w:t xml:space="preserve"> </w:t>
      </w:r>
      <m:oMath>
        <m:r>
          <m:t>Y</m:t>
        </m:r>
        <m:r>
          <m:rPr>
            <m:sty m:val="p"/>
          </m:rPr>
          <m:t>=</m:t>
        </m:r>
        <m:r>
          <m:t>U</m:t>
        </m:r>
        <m:sSup>
          <m:e>
            <m:r>
              <m:t>Q</m:t>
            </m:r>
          </m:e>
          <m:sup>
            <m:r>
              <m:rPr>
                <m:sty m:val="p"/>
              </m:rPr>
              <m:t>T</m:t>
            </m:r>
          </m:sup>
        </m:sSup>
        <m:r>
          <m:rPr>
            <m:sty m:val="p"/>
          </m:rPr>
          <m:t>+</m:t>
        </m:r>
        <m:r>
          <m:t>F</m:t>
        </m:r>
      </m:oMath>
      <w:r>
        <w:t xml:space="preserve"> </w:t>
      </w:r>
      <w:r>
        <w:t xml:space="preserve">represent multivariate PLS with</w:t>
      </w:r>
      <w:r>
        <w:t xml:space="preserve"> </w:t>
      </w:r>
      <m:oMath>
        <m:r>
          <m:t>l</m:t>
        </m:r>
      </m:oMath>
      <w:r>
        <w:t xml:space="preserve"> </w:t>
      </w:r>
      <w:r>
        <w:t xml:space="preserve">components, 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and</w:t>
      </w:r>
      <w:r>
        <w:t xml:space="preserve"> </w:t>
      </w:r>
      <m:oMath>
        <m:r>
          <m:t>Y</m:t>
        </m:r>
      </m:oMath>
      <w:r>
        <w:t xml:space="preserve">. These projections are the</w:t>
      </w:r>
      <w:r>
        <w:t xml:space="preserve"> </w:t>
      </w:r>
      <m:oMath>
        <m:r>
          <m:t>X</m:t>
        </m:r>
      </m:oMath>
      <w:r>
        <w:t xml:space="preserve"> </w:t>
      </w:r>
      <w:r>
        <w:t xml:space="preserve">or</w:t>
      </w:r>
      <w:r>
        <w:t xml:space="preserve"> </w:t>
      </w:r>
      <m:oMath>
        <m:r>
          <m:t>Y</m:t>
        </m:r>
      </m:oMath>
      <w:r>
        <w:t xml:space="preserve"> </w:t>
      </w:r>
      <w:r>
        <w:t xml:space="preserve">score, component, or factor matrix.</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p>
    <w:p>
      <w:pPr>
        <w:pStyle w:val="BodyText"/>
      </w:pPr>
      <w:r>
        <w:t xml:space="preserve">The scores form an orthogonal basis in PLSR, and the loadings are chosen to achieve this. In Principal Component Analysis (PCA) orthogonality is not imposed on scores but onto loadings instead</w:t>
      </w:r>
      <w:r>
        <w:t xml:space="preserve"> </w:t>
      </w:r>
      <w:r>
        <w:t xml:space="preserve">.</w:t>
      </w:r>
    </w:p>
    <w:p>
      <w:pPr>
        <w:pStyle w:val="BodyText"/>
      </w:pPr>
      <w:r>
        <w:t xml:space="preserve">Many versions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They usually approximate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can only be used if</w:t>
      </w:r>
      <w:r>
        <w:t xml:space="preserve"> </w:t>
      </w:r>
      <m:oMath>
        <m:r>
          <m:t>Y</m:t>
        </m:r>
      </m:oMath>
      <w:r>
        <w:t xml:space="preserve"> </w:t>
      </w:r>
      <w:r>
        <w:t xml:space="preserve">is a column vector. Others are universally utilized for a matrix</w:t>
      </w:r>
      <w:r>
        <w:t xml:space="preserve"> </w:t>
      </w:r>
      <m:oMath>
        <m:r>
          <m:t>Y</m:t>
        </m:r>
      </m:oMath>
      <w:r>
        <w:t xml:space="preserve">. Algorithms may not always estimate the factor matrix</w:t>
      </w:r>
      <w:r>
        <w:t xml:space="preserve"> </w:t>
      </w:r>
      <m:oMath>
        <m:r>
          <m:t>T</m:t>
        </m:r>
      </m:oMath>
      <w:r>
        <w:t xml:space="preserve"> </w:t>
      </w:r>
      <w:r>
        <w:t xml:space="preserve">as an orthogonal matrix. The components will change based on the selected PLS method, but not the final result.</w:t>
      </w:r>
    </w:p>
    <w:p>
      <w:pPr>
        <w:pStyle w:val="BodyText"/>
      </w:pPr>
      <w:r>
        <w:t xml:space="preserve">PLS iterates through the required operations</w:t>
      </w:r>
      <w:r>
        <w:t xml:space="preserve"> </w:t>
      </w:r>
      <m:oMath>
        <m:r>
          <m:t>k</m:t>
        </m:r>
      </m:oMath>
      <w:r>
        <w:t xml:space="preserve"> </w:t>
      </w:r>
      <w:r>
        <w:t xml:space="preserve">times, once for each component. The first operation is finding the directions of maximal covariance in the input and output space. Least squares regression is done on the input score in the next operation. Finally, the matrices representing the input</w:t>
      </w:r>
      <w:r>
        <w:t xml:space="preserve"> </w:t>
      </w:r>
      <m:oMath>
        <m:r>
          <m:t>X</m:t>
        </m:r>
      </m:oMath>
      <w:r>
        <w:t xml:space="preserve"> </w:t>
      </w:r>
      <w:r>
        <w:t xml:space="preserve">and target</w:t>
      </w:r>
      <w:r>
        <w:t xml:space="preserve"> </w:t>
      </w:r>
      <m:oMath>
        <m:r>
          <m:t>Y</m:t>
        </m:r>
      </m:oMath>
      <w:r>
        <w:t xml:space="preserve"> </w:t>
      </w:r>
      <w:r>
        <w:t xml:space="preserve">are deflated, but this is not always done.</w:t>
      </w:r>
    </w:p>
    <w:p>
      <w:pPr>
        <w:pStyle w:val="BodyText"/>
      </w:pPr>
      <w:r>
        <w:t xml:space="preserve">PLS1 is often utilized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w:t>
      </w:r>
      <w:r>
        <w:t xml:space="preserve">based on the paper by Takane and Loisel</w:t>
      </w:r>
      <w:r>
        <w:t xml:space="preserve"> </w:t>
      </w:r>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p>
    <w:p>
      <w:pPr>
        <w:pStyle w:val="BodyText"/>
      </w:pP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18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18</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belongs to a certain parametric distribution, such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finds a linear combination of features differentiating two or more sample classes in statistics and other research.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19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19</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20.</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20</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21,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21</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22.</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22</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p>
    <w:p>
      <w:pPr>
        <w:pStyle w:val="BodyText"/>
      </w:pP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p>
    <w:p>
      <w:pPr>
        <w:pStyle w:val="BodyText"/>
      </w:pPr>
      <w:r>
        <w:t xml:space="preserve">Equation 23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23</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class variability is defined by the sample covariance of the class means in Equation 24 if each of the</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24</m:t>
              </m:r>
            </m:e>
          </m:d>
        </m:oMath>
      </m:oMathPara>
    </w:p>
    <w:p>
      <w:pPr>
        <w:pStyle w:val="FirstParagraph"/>
      </w:pPr>
      <w:r>
        <w:t xml:space="preserve">Equation 25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25</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p>
    <w:p>
      <w:pPr>
        <w:pStyle w:val="BodyText"/>
      </w:pP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p>
    <w:p>
      <w:pPr>
        <w:pStyle w:val="BodyText"/>
      </w:pPr>
      <w:r>
        <w:t xml:space="preserve">The transformation given by Equation 26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26</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27 has maximum variance, with the matrix form in Equation 28.</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27</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28</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29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29</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p>
    <w:p>
      <w:pPr>
        <w:pStyle w:val="BodyText"/>
      </w:pP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30.</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30</m:t>
              </m:r>
            </m:e>
          </m:d>
        </m:oMath>
      </m:oMathPara>
    </w:p>
    <w:p>
      <w:pPr>
        <w:pStyle w:val="FirstParagraph"/>
      </w:pPr>
      <w:r>
        <w:t xml:space="preserve">Equation 31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31</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32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32</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33.</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33</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62"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 </w:t>
      </w:r>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[tab:K]</w:t>
        </w:r>
      </w:hyperlink>
      <w:r>
        <w:t xml:space="preserve">.</w:t>
      </w:r>
    </w:p>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34</w:t>
      </w:r>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34</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35</w:t>
      </w:r>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35</m:t>
              </m:r>
            </m:e>
          </m:d>
        </m:oMath>
      </m:oMathPara>
    </w:p>
    <w:p>
      <w:pPr>
        <w:pStyle w:val="FirstParagraph"/>
      </w:pPr>
      <w:r>
        <w:t xml:space="preserve">Appleton’s formula in Equation 36 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36</m:t>
              </m:r>
            </m:e>
          </m:d>
        </m:oMath>
      </m:oMathPara>
    </w:p>
    <w:p>
      <w:pPr>
        <w:pStyle w:val="FirstParagraph"/>
      </w:pPr>
      <w:r>
        <w:t xml:space="preserve">The combination of Equation 34 and Equation 36 yields Equation 37 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37</m:t>
              </m:r>
            </m:e>
          </m:d>
        </m:oMath>
      </m:oMathPara>
    </w:p>
    <w:p>
      <w:pPr>
        <w:pStyle w:val="FirstParagraph"/>
      </w:pPr>
      <w:r>
        <w:t xml:space="preserve">The</w:t>
      </w:r>
      <w:r>
        <w:t xml:space="preserve"> </w:t>
      </w:r>
      <m:oMath>
        <m:r>
          <m:t>T</m:t>
        </m:r>
        <m:r>
          <m:t>E</m:t>
        </m:r>
        <m:r>
          <m:t>C</m:t>
        </m:r>
      </m:oMath>
      <w:r>
        <w:t xml:space="preserve"> </w:t>
      </w:r>
      <w:r>
        <w:t xml:space="preserve"> </w:t>
      </w:r>
      <w:r>
        <w:t xml:space="preserve">in Equation 38 is calculated using the integral on the right side of Equation 37.</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38</m:t>
              </m:r>
            </m:e>
          </m:d>
        </m:oMath>
      </m:oMathPara>
    </w:p>
    <w:p>
      <w:pPr>
        <w:pStyle w:val="FirstParagraph"/>
      </w:pPr>
      <w:r>
        <w:t xml:space="preserve">Using equation Equation 38, Equation 37 can be written as shown in Equation 39.</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39</m:t>
              </m:r>
            </m:e>
          </m:d>
        </m:oMath>
      </m:oMathPara>
    </w:p>
    <w:p>
      <w:pPr>
        <w:pStyle w:val="FirstParagraph"/>
      </w:pPr>
      <w:r>
        <w:t xml:space="preserve">Following the same analogy, the equivalent GPS ionospheric delay is calculated in Equation 40.</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40</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w:r>
        <w:t xml:space="preserve">MHz and</w:t>
      </w:r>
      <w:r>
        <w:t xml:space="preserve"> </w:t>
      </w:r>
      <m:oMath>
        <m:sSub>
          <m:e>
            <m:r>
              <m:t>f</m:t>
            </m:r>
          </m:e>
          <m:sub>
            <m:r>
              <m:t>2</m:t>
            </m:r>
          </m:sub>
        </m:sSub>
        <m:r>
          <m:rPr>
            <m:sty m:val="p"/>
          </m:rPr>
          <m:t>=</m:t>
        </m:r>
        <m:r>
          <m:t>1227.60</m:t>
        </m:r>
      </m:oMath>
      <w:r>
        <w:t xml:space="preserve"> </w:t>
      </w:r>
      <w:r>
        <w:t xml:space="preserve">MHz) and using Equation 40, the relation between the</w:t>
      </w:r>
      <w:r>
        <w:t xml:space="preserve"> </w:t>
      </w:r>
      <m:oMath>
        <m:r>
          <m:t>T</m:t>
        </m:r>
        <m:r>
          <m:t>E</m:t>
        </m:r>
        <m:r>
          <m:t>C</m:t>
        </m:r>
      </m:oMath>
      <w:r>
        <w:t xml:space="preserve"> </w:t>
      </w:r>
      <w:r>
        <w:t xml:space="preserve">and GPS pseudo-range measurements can be established in Equation 41</w:t>
      </w:r>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41</m:t>
              </m:r>
            </m:e>
          </m:d>
        </m:oMath>
      </m:oMathPara>
    </w:p>
    <w:p>
      <w:pPr>
        <w:pStyle w:val="FirstParagraph"/>
      </w:pPr>
      <w:r>
        <w:t xml:space="preserve">Equation 41 can be rewritten as in Equation 42,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42.</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42</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43</w:t>
      </w:r>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43</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4" w:name="fig:correlation"/>
    <w:p>
      <w:pPr>
        <w:pStyle w:val="CaptionedFigure"/>
      </w:pPr>
      <w:r>
        <w:drawing>
          <wp:inline>
            <wp:extent cx="4800600" cy="4800600"/>
            <wp:effectExtent b="0" l="0" r="0" t="0"/>
            <wp:docPr descr="" title="" id="32" name="Picture"/>
            <a:graphic>
              <a:graphicData uri="http://schemas.openxmlformats.org/drawingml/2006/picture">
                <pic:pic>
                  <pic:nvPicPr>
                    <pic:cNvPr descr="correlation.png" id="33" name="Picture"/>
                    <pic:cNvPicPr>
                      <a:picLocks noChangeArrowheads="1" noChangeAspect="1"/>
                    </pic:cNvPicPr>
                  </pic:nvPicPr>
                  <pic:blipFill>
                    <a:blip r:embed="rId31"/>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4"/>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8" w:name="fig:dataset2boxplot"/>
    <w:p>
      <w:pPr>
        <w:pStyle w:val="CaptionedFigure"/>
      </w:pPr>
      <w:r>
        <w:drawing>
          <wp:inline>
            <wp:extent cx="4800600" cy="4800600"/>
            <wp:effectExtent b="0" l="0" r="0" t="0"/>
            <wp:docPr descr="" title="" id="36" name="Picture"/>
            <a:graphic>
              <a:graphicData uri="http://schemas.openxmlformats.org/drawingml/2006/picture">
                <pic:pic>
                  <pic:nvPicPr>
                    <pic:cNvPr descr="dataset2boxplot.png" id="37" name="Picture"/>
                    <pic:cNvPicPr>
                      <a:picLocks noChangeArrowheads="1" noChangeAspect="1"/>
                    </pic:cNvPicPr>
                  </pic:nvPicPr>
                  <pic:blipFill>
                    <a:blip r:embed="rId35"/>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8"/>
    <w:bookmarkStart w:id="42" w:name="fig:iono3boxplot"/>
    <w:p>
      <w:pPr>
        <w:pStyle w:val="CaptionedFigure"/>
      </w:pPr>
      <w:r>
        <w:drawing>
          <wp:inline>
            <wp:extent cx="4800600" cy="4800600"/>
            <wp:effectExtent b="0" l="0" r="0" t="0"/>
            <wp:docPr descr="" title="" id="40" name="Picture"/>
            <a:graphic>
              <a:graphicData uri="http://schemas.openxmlformats.org/drawingml/2006/picture">
                <pic:pic>
                  <pic:nvPicPr>
                    <pic:cNvPr descr="iono3boxplot.png" id="41" name="Picture"/>
                    <pic:cNvPicPr>
                      <a:picLocks noChangeArrowheads="1" noChangeAspect="1"/>
                    </pic:cNvPicPr>
                  </pic:nvPicPr>
                  <pic:blipFill>
                    <a:blip r:embed="rId39"/>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2"/>
    <w:bookmarkStart w:id="46" w:name="fig:iono3scatterplot"/>
    <w:p>
      <w:pPr>
        <w:pStyle w:val="CaptionedFigure"/>
      </w:pPr>
      <w:r>
        <w:drawing>
          <wp:inline>
            <wp:extent cx="4800600" cy="4800600"/>
            <wp:effectExtent b="0" l="0" r="0" t="0"/>
            <wp:docPr descr="" title="" id="44" name="Picture"/>
            <a:graphic>
              <a:graphicData uri="http://schemas.openxmlformats.org/drawingml/2006/picture">
                <pic:pic>
                  <pic:nvPicPr>
                    <pic:cNvPr descr="iono3scatterplot.png"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6"/>
    <w:bookmarkStart w:id="50" w:name="fig:dataset2scatterplot"/>
    <w:p>
      <w:pPr>
        <w:pStyle w:val="CaptionedFigure"/>
      </w:pPr>
      <w:r>
        <w:drawing>
          <wp:inline>
            <wp:extent cx="4800600" cy="4800600"/>
            <wp:effectExtent b="0" l="0" r="0" t="0"/>
            <wp:docPr descr="" title="" id="48" name="Picture"/>
            <a:graphic>
              <a:graphicData uri="http://schemas.openxmlformats.org/drawingml/2006/picture">
                <pic:pic>
                  <pic:nvPicPr>
                    <pic:cNvPr descr="dataset2scatterplot.png" id="49" name="Picture"/>
                    <pic:cNvPicPr>
                      <a:picLocks noChangeArrowheads="1" noChangeAspect="1"/>
                    </pic:cNvPicPr>
                  </pic:nvPicPr>
                  <pic:blipFill>
                    <a:blip r:embed="rId47"/>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0"/>
    <w:bookmarkStart w:id="54" w:name="fig:allTEC"/>
    <w:p>
      <w:pPr>
        <w:pStyle w:val="CaptionedFigure"/>
      </w:pPr>
      <w:r>
        <w:drawing>
          <wp:inline>
            <wp:extent cx="4572000" cy="3133725"/>
            <wp:effectExtent b="0" l="0" r="0" t="0"/>
            <wp:docPr descr="" title="" id="52" name="Picture"/>
            <a:graphic>
              <a:graphicData uri="http://schemas.openxmlformats.org/drawingml/2006/picture">
                <pic:pic>
                  <pic:nvPicPr>
                    <pic:cNvPr descr="allTEC_fix.png" id="53" name="Picture"/>
                    <pic:cNvPicPr>
                      <a:picLocks noChangeArrowheads="1" noChangeAspect="1"/>
                    </pic:cNvPicPr>
                  </pic:nvPicPr>
                  <pic:blipFill>
                    <a:blip r:embed="rId51"/>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4"/>
    <w:bookmarkStart w:id="58" w:name="fig:300TEC"/>
    <w:p>
      <w:pPr>
        <w:pStyle w:val="CaptionedFigure"/>
      </w:pPr>
      <w:r>
        <w:drawing>
          <wp:inline>
            <wp:extent cx="4572000" cy="3133725"/>
            <wp:effectExtent b="0" l="0" r="0" t="0"/>
            <wp:docPr descr="" title="" id="56" name="Picture"/>
            <a:graphic>
              <a:graphicData uri="http://schemas.openxmlformats.org/drawingml/2006/picture">
                <pic:pic>
                  <pic:nvPicPr>
                    <pic:cNvPr descr="300TEC_fix.png" id="57" name="Picture"/>
                    <pic:cNvPicPr>
                      <a:picLocks noChangeArrowheads="1" noChangeAspect="1"/>
                    </pic:cNvPicPr>
                  </pic:nvPicPr>
                  <pic:blipFill>
                    <a:blip r:embed="rId55"/>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8"/>
    <w:bookmarkStart w:id="59"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59"/>
    <w:bookmarkStart w:id="60"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0"/>
    <w:bookmarkStart w:id="61"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1"/>
    <w:bookmarkEnd w:id="62"/>
    <w:bookmarkStart w:id="67" w:name="performance-metrics"/>
    <w:p>
      <w:pPr>
        <w:pStyle w:val="Heading2"/>
      </w:pPr>
      <w:r>
        <w:t xml:space="preserve">Performance Metrics</w:t>
      </w:r>
    </w:p>
    <w:bookmarkStart w:id="64"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4</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3"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3"/>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4"/>
    <w:bookmarkStart w:id="65"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44.</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44</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45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45</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46 denotes all such events. Equation 47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46</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47</m:t>
              </m:r>
            </m:e>
          </m:d>
        </m:oMath>
      </m:oMathPara>
    </w:p>
    <w:bookmarkEnd w:id="65"/>
    <w:bookmarkStart w:id="66"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48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48</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49 is derived from the construction in Equation 50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49</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50</m:t>
              </m:r>
            </m:e>
          </m:d>
        </m:oMath>
      </m:oMathPara>
    </w:p>
    <w:p>
      <w:pPr>
        <w:pStyle w:val="FirstParagraph"/>
      </w:pPr>
      <w:r>
        <w:t xml:space="preserve">If ratings are independent Equation 51,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51</m:t>
              </m:r>
            </m:e>
          </m:d>
        </m:oMath>
      </m:oMathPara>
    </w:p>
    <w:p>
      <w:pPr>
        <w:pStyle w:val="FirstParagraph"/>
      </w:pPr>
      <w:r>
        <w:t xml:space="preserve">Equation 52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52</m:t>
              </m:r>
            </m:e>
          </m:d>
        </m:oMath>
      </m:oMathPara>
    </w:p>
    <w:p>
      <w:pPr>
        <w:pStyle w:val="FirstParagraph"/>
      </w:pPr>
      <w:r>
        <w:t xml:space="preserve">(and similarly for rater</w:t>
      </w:r>
      <w:r>
        <w:t xml:space="preserve"> </w:t>
      </w:r>
      <m:oMath>
        <m:r>
          <m:t>2</m:t>
        </m:r>
      </m:oMath>
      <w:r>
        <w:t xml:space="preserve">).</w:t>
      </w:r>
    </w:p>
    <w:p>
      <w:pPr>
        <w:pStyle w:val="BodyText"/>
      </w:pPr>
      <w:r>
        <w:t xml:space="preserve">Equation 53 contains the Cohen’s Kappa formula</w:t>
      </w:r>
      <w:r>
        <w:t xml:space="preserve"> </w:t>
      </w:r>
      <w:r>
        <w:t xml:space="preserve"> </w:t>
      </w:r>
      <w:r>
        <w:t xml:space="preserve">for the traditional confusion matrix for binary classifications in Table </w:t>
      </w:r>
      <w:hyperlink w:anchor="tab:cm">
        <w:r>
          <w:rPr>
            <w:rStyle w:val="Hyperlink"/>
          </w:rPr>
          <w:t xml:space="preserve">4</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53</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66"/>
    <w:bookmarkEnd w:id="67"/>
    <w:bookmarkEnd w:id="68"/>
    <w:bookmarkStart w:id="84"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w:t>
      </w:r>
    </w:p>
    <w:bookmarkStart w:id="69"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69"/>
    <w:bookmarkStart w:id="70"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0"/>
    <w:bookmarkStart w:id="71"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1"/>
    <w:bookmarkStart w:id="72"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2"/>
    <w:bookmarkStart w:id="73"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3"/>
    <w:bookmarkStart w:id="74"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4"/>
    <w:bookmarkStart w:id="75"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5"/>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12</w:t>
        </w:r>
      </w:hyperlink>
      <w:r>
        <w:t xml:space="preserve">. The experiment was run on Windows 11 using R Studio version 2024.04.2+764 and R version 4.4.1, the AMD Radeon RX 6600 GPU, 16GB of RAM, and the AMD Ryzen 5 PRO 4650G CPU with 6 cores.</w:t>
      </w:r>
    </w:p>
    <w:bookmarkStart w:id="76"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6"/>
    <w:bookmarkStart w:id="83"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13</w:t>
        </w:r>
      </w:hyperlink>
      <w:r>
        <w:t xml:space="preserve"> </w:t>
      </w:r>
      <w:r>
        <w:t xml:space="preserve">and Table </w:t>
      </w:r>
      <w:hyperlink w:anchor="tab:cs:reverse:all:nb">
        <w:r>
          <w:rPr>
            <w:rStyle w:val="Hyperlink"/>
          </w:rPr>
          <w:t xml:space="preserve">14</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15</w:t>
        </w:r>
      </w:hyperlink>
      <w:r>
        <w:t xml:space="preserve"> </w:t>
      </w:r>
      <w:r>
        <w:t xml:space="preserve">and Table </w:t>
      </w:r>
      <w:hyperlink w:anchor="tab:cs:reverse:no$Dst$:nb">
        <w:r>
          <w:rPr>
            <w:rStyle w:val="Hyperlink"/>
          </w:rPr>
          <w:t xml:space="preserve">16</w:t>
        </w:r>
      </w:hyperlink>
      <w:r>
        <w:t xml:space="preserve">, and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7"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7"/>
    <w:bookmarkStart w:id="78"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8"/>
    <w:bookmarkStart w:id="79"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9"/>
    <w:bookmarkStart w:id="80"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0"/>
    <w:bookmarkStart w:id="81"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1"/>
    <w:bookmarkStart w:id="8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2"/>
    <w:bookmarkEnd w:id="83"/>
    <w:bookmarkEnd w:id="84"/>
    <w:bookmarkStart w:id="85"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12</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13</w:t>
        </w:r>
      </w:hyperlink>
      <w:r>
        <w:t xml:space="preserve">, Table </w:t>
      </w:r>
      <w:hyperlink w:anchor="tab:cs:reverse:all:nb">
        <w:r>
          <w:rPr>
            <w:rStyle w:val="Hyperlink"/>
          </w:rPr>
          <w:t xml:space="preserve">14</w:t>
        </w:r>
      </w:hyperlink>
      <w:r>
        <w:t xml:space="preserve">, Table </w:t>
      </w:r>
      <w:hyperlink w:anchor="tab:cm:no$Dst$:nb">
        <w:r>
          <w:rPr>
            <w:rStyle w:val="Hyperlink"/>
          </w:rPr>
          <w:t xml:space="preserve">15</w:t>
        </w:r>
      </w:hyperlink>
      <w:r>
        <w:t xml:space="preserve">, Table </w:t>
      </w:r>
      <w:hyperlink w:anchor="tab:cs:reverse:no$Dst$:nb">
        <w:r>
          <w:rPr>
            <w:rStyle w:val="Hyperlink"/>
          </w:rPr>
          <w:t xml:space="preserve">16</w:t>
        </w:r>
      </w:hyperlink>
      <w:r>
        <w:t xml:space="preserve">,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85"/>
    <w:bookmarkStart w:id="86"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w:t>
      </w:r>
      <w:r>
        <w:t xml:space="preserve"> </w:t>
      </w:r>
      <m:oMath>
        <m:r>
          <m:t>T</m:t>
        </m:r>
        <m:r>
          <m:t>E</m:t>
        </m:r>
        <m:r>
          <m:t>C</m:t>
        </m:r>
      </m:oMath>
      <w:r>
        <w:t xml:space="preserve"> </w:t>
      </w:r>
      <w:r>
        <w:t xml:space="preserve">and calculating</w:t>
      </w:r>
      <w:r>
        <w:t xml:space="preserve"> </w:t>
      </w:r>
      <m:oMath>
        <m:r>
          <m:t>D</m:t>
        </m:r>
        <m:r>
          <m:t>s</m:t>
        </m:r>
        <m:r>
          <m:t>t</m:t>
        </m:r>
      </m:oMath>
      <w:r>
        <w:t xml:space="preserve">, can be successfully utilized to construct a simple and efficient model using a Naive Bayes classifier to determine</w:t>
      </w:r>
      <w:r>
        <w:t xml:space="preserve"> </w:t>
      </w:r>
      <m:oMath>
        <m:r>
          <m:t>D</m:t>
        </m:r>
        <m:r>
          <m:t>s</m:t>
        </m:r>
        <m:r>
          <m:t>t</m:t>
        </m:r>
      </m:oMath>
      <w:r>
        <w:t xml:space="preserve"> </w:t>
      </w:r>
      <w:r>
        <w:t xml:space="preserve">classes. The Neural Network model was marginally more accurate. However, the training time and model size were inappropriate for developing a new model with additional data or utilizing the model in practice.</w:t>
      </w:r>
    </w:p>
    <w:bookmarkEnd w:id="86"/>
    <w:bookmarkStart w:id="87" w:name="declaration-of-competing-interest"/>
    <w:p>
      <w:pPr>
        <w:pStyle w:val="Heading1"/>
      </w:pPr>
      <w:r>
        <w:t xml:space="preserve">Declaration of competing interest</w:t>
      </w:r>
    </w:p>
    <w:p>
      <w:pPr>
        <w:pStyle w:val="FirstParagraph"/>
      </w:pPr>
      <w:r>
        <w:t xml:space="preserve">The authors declare no conflict of interest.</w:t>
      </w:r>
    </w:p>
    <w:bookmarkEnd w:id="87"/>
    <w:bookmarkStart w:id="88"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88"/>
    <w:bookmarkStart w:id="89" w:name="funding"/>
    <w:p>
      <w:pPr>
        <w:pStyle w:val="Heading1"/>
      </w:pPr>
      <w:r>
        <w:t xml:space="preserve">Funding</w:t>
      </w:r>
    </w:p>
    <w:p>
      <w:pPr>
        <w:pStyle w:val="FirstParagraph"/>
      </w:pPr>
      <w:r>
        <w:t xml:space="preserve">This work was fully supported by</w:t>
      </w:r>
    </w:p>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Lucija Žužić; Deni Klen; Teodor B. Iliev; Renato Filjar</dc:creator>
  <cp:keywords/>
  <dcterms:created xsi:type="dcterms:W3CDTF">2024-10-08T11:10:22Z</dcterms:created>
  <dcterms:modified xsi:type="dcterms:W3CDTF">2024-10-08T11:10:22Z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(TEC), and Disturbance Storm-Time (Dst)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 TEC, combined with other variables, into one of the scenarios of space weather conditions. Performance is assessed using a confusion matrix and development time to yield the Naive Bayes as the best performer. The proposed Dst-based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y fmtid="{D5CDD505-2E9C-101B-9397-08002B2CF9AE}" pid="3" name="bibliography">
    <vt:lpwstr/>
  </property>
</Properties>
</file>