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w:t>
      </w:r>
      <w:r>
        <w:t xml:space="preserve"> </w:t>
      </w:r>
      <m:oMath>
        <m:r>
          <m:t>T</m:t>
        </m:r>
        <m:r>
          <m:t>E</m:t>
        </m:r>
        <m:r>
          <m:t>C</m:t>
        </m:r>
      </m:oMath>
      <w:r>
        <w:t xml:space="preserve"> </w:t>
      </w:r>
      <w:r>
        <w:t xml:space="preserve">is defined as a result, a consequence, of the ionospheric conditions, and not their descriptor</w:t>
      </w:r>
      <w:r>
        <w:t xml:space="preserve"> </w:t>
      </w:r>
      <w:r>
        <w:t xml:space="preserve">.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3,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w:t>
      </w:r>
      <w:r>
        <w:t xml:space="preserve"> </w:t>
      </w:r>
      <w:r>
        <w:t xml:space="preserve"> </w:t>
      </w:r>
      <w:r>
        <w:t xml:space="preserve">can induce various effects that degrade the accuracy, availability, and reliability of GNSS PNT.</w:t>
      </w:r>
    </w:p>
    <w:p>
      <w:pPr>
        <w:pStyle w:val="BodyText"/>
      </w:pPr>
      <w:r>
        <w:t xml:space="preserve">Disturbances caused by geomagnetic storms</w:t>
      </w:r>
      <w:r>
        <w:t xml:space="preserve"> </w:t>
      </w:r>
      <w:r>
        <w:t xml:space="preserve"> </w:t>
      </w:r>
      <w:r>
        <w:t xml:space="preserve">can also affect the high-frequency GPS signals</w:t>
      </w:r>
      <w:r>
        <w:t xml:space="preserve"> </w:t>
      </w:r>
      <w:r>
        <w:t xml:space="preserve"> </w:t>
      </w:r>
      <w:r>
        <w:t xml:space="preserve">passing through the ionosphere layer</w:t>
      </w:r>
      <w:r>
        <w:t xml:space="preserve"> </w:t>
      </w:r>
      <w:r>
        <w:t xml:space="preserve">, motivating work on error modeling of the ionosphere</w:t>
      </w:r>
      <w:r>
        <w:t xml:space="preserve"> </w:t>
      </w:r>
      <w:r>
        <w:t xml:space="preserve">. Observed changes in the ionosphere layer include the density distribution in the ionosphere,</w:t>
      </w:r>
      <w:r>
        <w:t xml:space="preserve"> </w:t>
      </w:r>
      <m:oMath>
        <m:r>
          <m:t>T</m:t>
        </m:r>
        <m:r>
          <m:t>E</m:t>
        </m:r>
        <m:r>
          <m:t>C</m:t>
        </m:r>
      </m:oMath>
      <w:r>
        <w:t xml:space="preserve"> </w:t>
      </w:r>
      <w:r>
        <w:t xml:space="preserve">values, and the current balance in the ionosphere</w:t>
      </w:r>
      <w:r>
        <w:t xml:space="preserve"> </w:t>
      </w:r>
      <w:r>
        <w:t xml:space="preserve">.</w:t>
      </w:r>
    </w:p>
    <w:p>
      <w:pPr>
        <w:pStyle w:val="BodyText"/>
      </w:pPr>
      <w:r>
        <w:t xml:space="preserve">Geomagnetic storms</w:t>
      </w:r>
      <w:r>
        <w:t xml:space="preserve"> </w:t>
      </w:r>
      <w:r>
        <w:t xml:space="preserve"> </w:t>
      </w:r>
      <w:r>
        <w:t xml:space="preserve">cause signal deterioration by affecting Global Electric Current (GEC) variability</w:t>
      </w:r>
      <w:r>
        <w:t xml:space="preserve"> </w:t>
      </w:r>
      <w:r>
        <w:t xml:space="preserve">. The ionosphere</w:t>
      </w:r>
      <w:r>
        <w:t xml:space="preserve"> </w:t>
      </w:r>
      <w:r>
        <w:t xml:space="preserve"> </w:t>
      </w:r>
      <w:r>
        <w:t xml:space="preserve">may show changes</w:t>
      </w:r>
      <w:r>
        <w:t xml:space="preserve"> </w:t>
      </w:r>
      <w:r>
        <w:t xml:space="preserve"> </w:t>
      </w:r>
      <w:r>
        <w:t xml:space="preserve">related to geographical and geomagnetic location, geomagnetic and solar activity, the appearance of sunspots, local time</w:t>
      </w:r>
      <w:r>
        <w:t xml:space="preserve"> </w:t>
      </w:r>
      <w:r>
        <w:t xml:space="preserve">, seasonality, thunderstorms</w:t>
      </w:r>
      <w:r>
        <w:t xml:space="preserve"> </w:t>
      </w:r>
      <w:r>
        <w:t xml:space="preserve">, nuclear experiments on Earth, earthquakes</w:t>
      </w:r>
      <w:r>
        <w:t xml:space="preserve"> </w:t>
      </w:r>
      <w:r>
        <w:t xml:space="preserve">,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w:t>
      </w:r>
      <w:r>
        <w:t xml:space="preserve"> </w:t>
      </w:r>
      <w:r>
        <w:t xml:space="preserve"> </w:t>
      </w:r>
      <w:r>
        <w:t xml:space="preserve">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w:t>
      </w:r>
      <w:r>
        <w:t xml:space="preserve"> </w:t>
      </w:r>
      <w:r>
        <w:t xml:space="preserve"> </w:t>
      </w:r>
      <w:r>
        <w:t xml:space="preserve">coming from the solar corona and the domain of the Sun influence the interplanetary magnetic field</w:t>
      </w:r>
      <w:r>
        <w:t xml:space="preserve"> </w:t>
      </w:r>
      <w:r>
        <w:t xml:space="preserve">.</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w:t>
      </w:r>
      <w:r>
        <w:t xml:space="preserve"> </w:t>
      </w:r>
      <w:r>
        <w:t xml:space="preserve"> </w:t>
      </w:r>
      <w:r>
        <w:t xml:space="preserve">appear when the Sun’s activity is highest. Sunspots are filled with magnetism and large magnetic field lines, and matter sputtering can occur</w:t>
      </w:r>
      <w:r>
        <w:t xml:space="preserve"> </w:t>
      </w:r>
      <w:r>
        <w:t xml:space="preserve">. Affected by solar winds</w:t>
      </w:r>
      <w:r>
        <w:t xml:space="preserve"> </w:t>
      </w:r>
      <w:r>
        <w:t xml:space="preserve">,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w:t>
      </w:r>
      <w:r>
        <w:t xml:space="preserve"> </w:t>
      </w:r>
      <w:r>
        <w:t xml:space="preserve">.</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w:t>
      </w:r>
      <w:r>
        <w:t xml:space="preserve"> </w:t>
      </w:r>
      <w:r>
        <w:t xml:space="preserve">.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w:t>
      </w:r>
      <w:r>
        <w:t xml:space="preserve"> </w:t>
      </w:r>
      <w:r>
        <w:t xml:space="preserve">. An expansion of the F2 layer is also observed due to excess plasma production. Magnetic field indices are available in one-hour resolution from the web interface of the National Aeronautics and Space Administration (NASA) Goddard Space Physics Data Facility (SPDF)</w:t>
      </w:r>
      <w:r>
        <w:t xml:space="preserve"> </w:t>
      </w:r>
      <w:r>
        <w:t xml:space="preserve">.</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w:t>
      </w:r>
      <w:r>
        <w:t xml:space="preserve"> </w:t>
      </w:r>
      <w:r>
        <w:t xml:space="preserve">.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w:t>
      </w:r>
      <w:r>
        <w:t xml:space="preserve"> </w:t>
      </w:r>
      <w:r>
        <w:t xml:space="preserve"> </w:t>
      </w:r>
      <w:r>
        <w:t xml:space="preserve">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w:t>
      </w:r>
      <w:r>
        <w:t xml:space="preserve"> </w:t>
      </w:r>
      <w:r>
        <w:t xml:space="preserve"> </w:t>
      </w:r>
      <w:r>
        <w:t xml:space="preserve">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w:t>
      </w:r>
      <w:r>
        <w:t xml:space="preserve"> </w:t>
      </w:r>
      <w:r>
        <w:t xml:space="preserve"> </w:t>
      </w:r>
      <w:r>
        <w:t xml:space="preserve">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w:t>
      </w:r>
      <w:r>
        <w:t xml:space="preserve"> </w:t>
      </w:r>
      <w:r>
        <w:t xml:space="preserve"> </w:t>
      </w:r>
      <w:r>
        <w:t xml:space="preserve">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w:t>
      </w:r>
      <w:r>
        <w:t xml:space="preserve"> </w:t>
      </w:r>
      <w:r>
        <w:t xml:space="preserve">.</w:t>
      </w:r>
    </w:p>
    <w:p>
      <w:pPr>
        <w:pStyle w:val="BodyText"/>
      </w:pPr>
      <w:r>
        <w:t xml:space="preserve">The NOAA SWPC</w:t>
      </w:r>
      <w:r>
        <w:t xml:space="preserve"> </w:t>
      </w:r>
      <w:r>
        <w:t xml:space="preserve"> </w:t>
      </w:r>
      <w:r>
        <w:t xml:space="preserve">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w:t>
      </w:r>
      <w:r>
        <w:t xml:space="preserve"> </w:t>
      </w:r>
      <w:r>
        <w:t xml:space="preserve"> </w:t>
      </w:r>
      <w:r>
        <w:t xml:space="preserve">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w:t>
      </w:r>
      <w:r>
        <w:t xml:space="preserve"> </w:t>
      </w:r>
      <w:r>
        <w:t xml:space="preserve"> </w:t>
      </w:r>
      <w:r>
        <w:t xml:space="preserve">and a scientific publication</w:t>
      </w:r>
      <w:r>
        <w:t xml:space="preserve"> </w:t>
      </w:r>
      <w:r>
        <w:t xml:space="preserve"> </w:t>
      </w:r>
      <w:r>
        <w:t xml:space="preserve">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w:t>
      </w:r>
      <w:r>
        <w:t xml:space="preserve"> </w:t>
      </w:r>
      <w:r>
        <w:t xml:space="preserve">.</w:t>
      </w:r>
    </w:p>
    <w:tbl>
      <w:tblPr>
        <w:tblStyle w:val="Table"/>
        <w:tblW w:type="auto" w:w="0"/>
        <w:tblLook w:firstRow="1" w:lastRow="0" w:firstColumn="0" w:lastColumn="0" w:noHBand="0" w:noVBand="0" w:val="0020"/>
        <w:tblCaption w:val="The K_{p}-index as related to geomagnetic storm descriptions and warnings using the NOAA G scale ."/>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w:t>
      </w:r>
      <w:r>
        <w:t xml:space="preserve"> </w:t>
      </w:r>
      <w:r>
        <w:t xml:space="preserve"> </w:t>
      </w:r>
      <w:r>
        <w:t xml:space="preserve">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w:t>
      </w:r>
      <w:r>
        <w:t xml:space="preserve"> </w:t>
      </w:r>
      <w:r>
        <w:t xml:space="preserve">.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w:t>
      </w:r>
      <w:r>
        <w:t xml:space="preserve"> </w:t>
      </w:r>
      <w:r>
        <w:t xml:space="preserve">.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r>
        <w:t xml:space="preserve"> </w:t>
      </w: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oMath>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w:t>
      </w:r>
      <w:r>
        <w:t xml:space="preserve"> </w:t>
      </w:r>
      <w:r>
        <w:t xml:space="preserve">.</w:t>
      </w:r>
    </w:p>
    <w:tbl>
      <w:tblPr>
        <w:tblStyle w:val="Table"/>
        <w:tblW w:type="auto" w:w="0"/>
        <w:tblLook w:firstRow="1" w:lastRow="0" w:firstColumn="0" w:lastColumn="0" w:noHBand="0" w:noVBand="0" w:val="0020"/>
        <w:tblCaption w:val="The a-index values for each K-index, from ."/>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w:t>
      </w:r>
      <w:r>
        <w:t xml:space="preserve"> </w:t>
      </w:r>
      <w:r>
        <w:t xml:space="preserve">.</w:t>
      </w:r>
    </w:p>
    <w:tbl>
      <w:tblPr>
        <w:tblStyle w:val="Table"/>
        <w:tblW w:type="auto" w:w="0"/>
        <w:tblLook w:firstRow="1" w:lastRow="0" w:firstColumn="0" w:lastColumn="0" w:noHBand="0" w:noVBand="0" w:val="0020"/>
        <w:tblCaption w:val="The a_{p}-index values for each K_{p}-index, from ."/>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w:t>
      </w:r>
      <w:r>
        <w:t xml:space="preserve"> </w:t>
      </w:r>
      <w:r>
        <w:t xml:space="preserve">.</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w:t>
      </w:r>
      <w:r>
        <w:t xml:space="preserve"> </w:t>
      </w:r>
      <w:r>
        <w:t xml:space="preserve"> </w:t>
      </w:r>
      <w:r>
        <w:t xml:space="preserve">can increase signal delay which can cause positioning errors, especially critical for high-precision applications</w:t>
      </w:r>
      <w:r>
        <w:t xml:space="preserve"> </w:t>
      </w:r>
      <w:r>
        <w:t xml:space="preserve">.</w:t>
      </w:r>
      <w:r>
        <w:t xml:space="preserve"> </w:t>
      </w:r>
      <m:oMath>
        <m:r>
          <m:t>T</m:t>
        </m:r>
        <m:r>
          <m:t>E</m:t>
        </m:r>
        <m:r>
          <m:t>C</m:t>
        </m:r>
      </m:oMath>
      <w:r>
        <w:t xml:space="preserve"> </w:t>
      </w:r>
      <w:r>
        <w:t xml:space="preserve">can be calculated as indicated in Equation 1, Equation 2, and Equation 3.</w:t>
      </w:r>
    </w:p>
    <w:p>
      <w:pPr>
        <w:pStyle w:val="BodyText"/>
      </w:pPr>
      <w:r>
        <w:t xml:space="preserve">The Global Positioning System (GPS) ionospheric delay</w:t>
      </w:r>
      <w:r>
        <w:t xml:space="preserve"> </w:t>
      </w:r>
      <w:r>
        <w:t xml:space="preserve"> </w:t>
      </w:r>
      <w:r>
        <w:t xml:space="preserve">on the radio ray path between the satellite and receiver is defined in Equation 6</w:t>
      </w:r>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w:t>
      </w:r>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w:t>
      </w:r>
      <w:r>
        <w:t xml:space="preserve"> </w:t>
      </w:r>
      <m:oMath>
        <m:r>
          <m:t>T</m:t>
        </m:r>
        <m:r>
          <m:t>E</m:t>
        </m:r>
        <m:r>
          <m:t>C</m:t>
        </m:r>
      </m:oMath>
      <w:r>
        <w:t xml:space="preserve"> </w:t>
      </w:r>
      <w:r>
        <w:t xml:space="preserve"> </w:t>
      </w:r>
      <w:r>
        <w:t xml:space="preserve">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w:t>
      </w:r>
      <w:r>
        <w:t xml:space="preserve"> </w:t>
      </w:r>
      <m:oMath>
        <m:r>
          <m:t>T</m:t>
        </m:r>
        <m:r>
          <m:t>E</m:t>
        </m:r>
        <m:r>
          <m:t>C</m:t>
        </m:r>
      </m:oMath>
      <w:r>
        <w:t xml:space="preserve"> </w:t>
      </w:r>
      <w:r>
        <w:t xml:space="preserve">and GPS pseudo-range measurements can be established in Equation 13</w:t>
      </w:r>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15</w:t>
      </w:r>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w:t>
      </w:r>
      <w:r>
        <w:t xml:space="preserve"> </w:t>
      </w:r>
      <w:r>
        <w:t xml:space="preserve"> </w:t>
      </w:r>
      <w:r>
        <w:t xml:space="preserve">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w:t>
      </w:r>
      <w:r>
        <w:t xml:space="preserve"> </w:t>
      </w:r>
      <w:r>
        <w:t xml:space="preserve">.</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w:t>
      </w:r>
      <w:r>
        <w:t xml:space="preserve"> </w:t>
      </w:r>
      <w:r>
        <w:t xml:space="preserve">.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w:t>
      </w:r>
      <w:r>
        <w:t xml:space="preserve"> </w:t>
      </w:r>
      <w:r>
        <w:t xml:space="preserve">, and the Geomagnetism and Space Magnetism Data Analysis Center of the Institute of Science, Kyoto University in Japan.</w:t>
      </w:r>
    </w:p>
    <w:p>
      <w:pPr>
        <w:pStyle w:val="BodyText"/>
      </w:pPr>
      <w:r>
        <w:t xml:space="preserve">Loewe and Prölss, in 1997</w:t>
      </w:r>
      <w:r>
        <w:t xml:space="preserve"> </w:t>
      </w:r>
      <w:r>
        <w:t xml:space="preserve"> </w:t>
      </w:r>
      <w:r>
        <w:t xml:space="preserve">classified magnetic activity</w:t>
      </w:r>
      <w:r>
        <w:t xml:space="preserve"> </w:t>
      </w:r>
      <m:oMath>
        <m:r>
          <m:t>D</m:t>
        </m:r>
        <m:r>
          <m:t>s</m:t>
        </m:r>
        <m:r>
          <m:t>t</m:t>
        </m:r>
      </m:oMath>
      <w:r>
        <w:t xml:space="preserve">-indices into five storm classes, as shown in Table </w:t>
      </w:r>
      <w:hyperlink w:anchor="tab:loewe1997">
        <w:r>
          <w:rPr>
            <w:rStyle w:val="Hyperlink"/>
          </w:rPr>
          <w:t xml:space="preserve">6</w:t>
        </w:r>
      </w:hyperlink>
      <w:r>
        <w:t xml:space="preserve">. Gonzalez et al.</w:t>
      </w:r>
      <w:r>
        <w:t xml:space="preserve"> </w:t>
      </w:r>
      <w:r>
        <w:t xml:space="preserve"> </w:t>
      </w:r>
      <w:r>
        <w:t xml:space="preserve">used three groups for the same data in 1994, as shown in Table </w:t>
      </w:r>
      <w:hyperlink w:anchor="tab:gonzalez1994">
        <w:r>
          <w:rPr>
            <w:rStyle w:val="Hyperlink"/>
          </w:rPr>
          <w:t xml:space="preserve">7</w:t>
        </w:r>
      </w:hyperlink>
      <w:r>
        <w:t xml:space="preserve">, similar to Kamide et al. in 1998</w:t>
      </w:r>
      <w:r>
        <w:t xml:space="preserve"> </w:t>
      </w:r>
      <w:r>
        <w:t xml:space="preserve">, Rozhnoi et al. in 2004</w:t>
      </w:r>
      <w:r>
        <w:t xml:space="preserve"> </w:t>
      </w:r>
      <w:r>
        <w:t xml:space="preserve">, and Contadakis et al. in 2012</w:t>
      </w:r>
      <w:r>
        <w:t xml:space="preserve"> </w:t>
      </w:r>
      <w:r>
        <w:t xml:space="preserve">.</w:t>
      </w:r>
    </w:p>
    <w:bookmarkStart w:id="40" w:name="tab:loewe1997"/>
    <w:p>
      <w:pPr>
        <w:pStyle w:val="TableCaption"/>
      </w:pPr>
      <w:r>
        <w:t xml:space="preserve">Storm classification from Loewe and Prölss, in 1997</w:t>
      </w:r>
      <w:r>
        <w:t xml:space="preserve"> </w:t>
      </w:r>
      <w:r>
        <w:t xml:space="preserve">.</w:t>
      </w:r>
    </w:p>
    <w:tbl>
      <w:tblPr>
        <w:tblStyle w:val="Table"/>
        <w:tblW w:type="auto" w:w="0"/>
        <w:tblLook w:firstRow="0" w:lastRow="0" w:firstColumn="0" w:lastColumn="0" w:noHBand="0" w:noVBand="0" w:val="0000"/>
        <w:tblCaption w:val="Storm classification from Loewe and Prölss, in 1997 ."/>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w:t>
      </w:r>
      <w:r>
        <w:t xml:space="preserve"> </w:t>
      </w:r>
      <w:r>
        <w:t xml:space="preserve">.</w:t>
      </w:r>
    </w:p>
    <w:tbl>
      <w:tblPr>
        <w:tblStyle w:val="Table"/>
        <w:tblW w:type="auto" w:w="0"/>
        <w:tblLook w:firstRow="0" w:lastRow="0" w:firstColumn="0" w:lastColumn="0" w:noHBand="0" w:noVBand="0" w:val="0000"/>
        <w:tblCaption w:val="Storm classification from Gonzales et al., in 1994 ."/>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w:t>
      </w:r>
      <w:r>
        <w:t xml:space="preserve"> </w:t>
      </w:r>
      <w:r>
        <w:t xml:space="preserve"> </w:t>
      </w:r>
      <w:r>
        <w:t xml:space="preserve">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w:t>
      </w:r>
      <w:r>
        <w:t xml:space="preserve"> </w:t>
      </w:r>
      <w:r>
        <w:t xml:space="preserve">.</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107"/>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2024-10-17T17:08:53Z</dcterms:created>
  <dcterms:modified xsi:type="dcterms:W3CDTF">2024-10-17T17:08:53Z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