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has appeared fundamental for the sustainable development of modern economy and society</w:t>
      </w:r>
      <w:r>
        <w:t xml:space="preserve"> </w:t>
      </w:r>
      <w:r>
        <w:t xml:space="preserve">. Overcoming the shortcomings and vulnerabilities of GNSS PNT is a scientific challenge, and the need of a wide variety of scientists, developers, operators, regulators, and users of GNSS-based systems and services</w:t>
      </w:r>
      <w:r>
        <w:t xml:space="preserve"> </w:t>
      </w:r>
      <w:r>
        <w:t xml:space="preserve">. The Earth’s ionosphere, a part of the Earth’s atmosphere stretching from 50 km to 2000 km above the Earth’s surface and comprised of rare but mostly charged atoms and molecules, is the major natural cause of GNSS PNT degradation</w:t>
      </w:r>
      <w:r>
        <w:t xml:space="preserve"> </w:t>
      </w:r>
      <w:r>
        <w:t xml:space="preserve">. 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 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 How space weather affects GNSS PNT performance was explained using the Space weather – GNSS PNT performance coupling model</w:t>
      </w:r>
      <w:r>
        <w:t xml:space="preserve"> </w:t>
      </w:r>
      <w:r>
        <w:t xml:space="preserve">, as depicted in Table </w:t>
      </w:r>
      <w:hyperlink w:anchor="Xcd98f75463a4f9443cea1890b285c3eb94af900">
        <w:r>
          <w:rPr>
            <w:rStyle w:val="Hyperlink"/>
          </w:rPr>
          <w:t xml:space="preserve">1</w:t>
        </w:r>
      </w:hyperlink>
    </w:p>
    <w:bookmarkStart w:id="20" w:name="Xcd98f75463a4f9443cea1890b285c3eb94af900"/>
    <w:p>
      <w:pPr>
        <w:pStyle w:val="TableCaption"/>
      </w:pPr>
      <w:r>
        <w:t xml:space="preserve">The Space weather – GNSS PNT performance coupling model, after</w:t>
      </w:r>
      <w:r>
        <w:t xml:space="preserve"> </w:t>
      </w:r>
      <w:r>
        <w:t xml:space="preserve">.</w:t>
      </w:r>
    </w:p>
    <w:tbl>
      <w:tblPr>
        <w:tblStyle w:val="Table"/>
        <w:tblW w:type="auto" w:w="0"/>
        <w:tblLook w:firstRow="0" w:lastRow="0" w:firstColumn="0" w:lastColumn="0" w:noHBand="0" w:noVBand="0" w:val="0000"/>
        <w:tblCaption w:val="The Space weather – GNSS PNT performance coupling model, after ."/>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unit’s (GNSS receiver’s) aerial</w:t>
      </w:r>
      <w:r>
        <w:t xml:space="preserve"> </w:t>
      </w:r>
      <w:r>
        <w:t xml:space="preserve">.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 GNSS PNT performance coupling model</w:t>
      </w:r>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attempts to solve the problem of GNSS PNT sustainable performance in various ionospheric conditions</w:t>
      </w:r>
      <w:r>
        <w:t xml:space="preserve"> </w:t>
      </w:r>
      <w:r>
        <w:t xml:space="preserve">. In recent developments, our team has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w:t>
      </w:r>
      <w:r>
        <w:t xml:space="preserve"> </w:t>
      </w:r>
      <w:r>
        <w:t xml:space="preserve">. Previous research has identified predictors and target variables (descriptors of geomagnetic, ionospheric, and GNSS PNT conditions)</w:t>
      </w:r>
      <w:r>
        <w:t xml:space="preserve"> </w:t>
      </w:r>
      <w:r>
        <w:t xml:space="preserve">.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r>
        <w:t xml:space="preserve"> </w:t>
      </w:r>
      <w:r>
        <w:t xml:space="preserve">.</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w:t>
      </w:r>
      <w:r>
        <w:t xml:space="preserve"> </w:t>
      </w:r>
      <w:r>
        <w:t xml:space="preserve"> </w:t>
      </w:r>
      <w:r>
        <w:t xml:space="preserve">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w:t>
      </w:r>
      <w:r>
        <w:t xml:space="preserve"> </w:t>
      </w:r>
      <w:r>
        <w:t xml:space="preserve">,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w:t>
      </w:r>
      <w:r>
        <w:t xml:space="preserve"> </w:t>
      </w:r>
      <w:r>
        <w:t xml:space="preserve">. Support Vector Clustering</w:t>
      </w:r>
      <w:r>
        <w:t xml:space="preserve"> </w:t>
      </w:r>
      <w:r>
        <w:t xml:space="preserve"> </w:t>
      </w:r>
      <w:r>
        <w:t xml:space="preserve">(SVC) applies support vector statistics to unlabeled data in unsupervised learning to find new natural groupings. Meyer, Leisch, and Hornik compared SVM with other classifiers</w:t>
      </w:r>
      <w:r>
        <w:t xml:space="preserve"> </w:t>
      </w:r>
      <w:r>
        <w:t xml:space="preserve">,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w:t>
      </w:r>
      <w:r>
        <w:t xml:space="preserve"> </w:t>
      </w:r>
      <w:r>
        <w:t xml:space="preserve">. Intuitively, a good separation is achieved by the hyperplane with the greatest distance to the nearest point in the training data belonging to any class</w:t>
      </w:r>
      <w:r>
        <w:t xml:space="preserve"> </w:t>
      </w:r>
      <w:r>
        <w:t xml:space="preserve">.</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w:t>
      </w:r>
      <w:r>
        <w:t xml:space="preserve"> </w:t>
      </w:r>
      <w:r>
        <w:t xml:space="preserve">. A multidimensional feature space increases the generalization error of Support Vector Machines, so additional samples are needed to enhance performance</w:t>
      </w:r>
      <w:r>
        <w:t xml:space="preserve"> </w:t>
      </w:r>
      <w:r>
        <w:t xml:space="preserve">.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w:t>
      </w:r>
      <w:r>
        <w:t xml:space="preserve"> </w:t>
      </w:r>
      <w:r>
        <w:t xml:space="preserv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w:t>
      </w:r>
      <w:r>
        <w:t xml:space="preserve"> </w:t>
      </w:r>
      <w:r>
        <w:t xml:space="preserve">. Some methods for shallow semantic parsing are based on SVMs</w:t>
      </w:r>
      <w:r>
        <w:t xml:space="preserve"> </w:t>
      </w:r>
      <w:r>
        <w:t xml:space="preserve">. Image classification and segmentation can also be performed using SVM models, including a modified version of SVM that uses privileged access as proposed by Vapnik</w:t>
      </w:r>
      <w:r>
        <w:t xml:space="preserve"> </w:t>
      </w:r>
      <w:r>
        <w:t xml:space="preserve">.</w:t>
      </w:r>
    </w:p>
    <w:p>
      <w:pPr>
        <w:pStyle w:val="BodyText"/>
      </w:pPr>
      <w:r>
        <w:t xml:space="preserve">Classification of satellite data such as Synthetic Aperture Radar (SAR) data is possible using a supervised SVM</w:t>
      </w:r>
      <w:r>
        <w:t xml:space="preserve"> </w:t>
      </w:r>
      <w:r>
        <w:t xml:space="preserve">. Handwritten characters can be recognized using SVM</w:t>
      </w:r>
      <w:r>
        <w:t xml:space="preserve"> </w:t>
      </w:r>
      <w:r>
        <w:t xml:space="preserve">.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w:t>
      </w:r>
      <w:r>
        <w:t xml:space="preserve"> </w:t>
      </w:r>
      <w:r>
        <w:t xml:space="preserve">. SVM weights were also used to interpret SVM models</w:t>
      </w:r>
      <w:r>
        <w:t xml:space="preserve"> </w:t>
      </w:r>
      <w:r>
        <w:t xml:space="preserve">.</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w:t>
      </w:r>
      <w:r>
        <w:t xml:space="preserve"> </w:t>
      </w:r>
      <w:r>
        <w:t xml:space="preserve">.</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w:t>
      </w:r>
      <w:r>
        <w:t xml:space="preserve"> </w:t>
      </w:r>
      <w:r>
        <w:t xml:space="preserve">. Decision Trees are among the most popular machine learning algorithms due to their comprehensibility and simplicity</w:t>
      </w:r>
      <w:r>
        <w:t xml:space="preserve"> </w:t>
      </w:r>
      <w:r>
        <w:t xml:space="preserve">. A Decision Tree describes the input data and the resulting classification tree can be the input for decision-making in data mining</w:t>
      </w:r>
      <w:r>
        <w:t xml:space="preserve"> </w:t>
      </w:r>
      <w:r>
        <w:t xml:space="preserve">.</w:t>
      </w:r>
    </w:p>
    <w:p>
      <w:pPr>
        <w:pStyle w:val="BodyText"/>
      </w:pPr>
      <w:r>
        <w:t xml:space="preserve">A tree is built by dividing the original set, which forms the root node, into subsets that form descendants, or successors. The segmentation is made using a set of rules based on classification features</w:t>
      </w:r>
      <w:r>
        <w:t xml:space="preserve"> </w:t>
      </w:r>
      <w:r>
        <w:t xml:space="preserve">.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w:t>
      </w:r>
      <w:r>
        <w:t xml:space="preserve"> </w:t>
      </w:r>
      <w:r>
        <w:t xml:space="preserve"> </w:t>
      </w:r>
      <w:r>
        <w:t xml:space="preserve">is an example of a greedy algorithm and is by far the most common strategy for learning Decision Trees from data</w:t>
      </w:r>
      <w:r>
        <w:t xml:space="preserve"> </w:t>
      </w:r>
      <w:r>
        <w:t xml:space="preserve">.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w:t>
      </w:r>
      <w:r>
        <w:t xml:space="preserve"> </w:t>
      </w:r>
      <w:r>
        <w:t xml:space="preserve">.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w:t>
      </w:r>
      <w:r>
        <w:t xml:space="preserve"> </w:t>
      </w:r>
      <w:r>
        <w:t xml:space="preserve">,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w:t>
      </w:r>
      <w:r>
        <w:t xml:space="preserve"> </w:t>
      </w:r>
      <w:r>
        <w:t xml:space="preserve">. These names refer to Bayes’ theorem in the classifier’s decision rule, but a Naive Bayesian classifier is not necessarily a Bayesian method</w:t>
      </w:r>
      <w:r>
        <w:t xml:space="preserve"> </w:t>
      </w:r>
      <w:r>
        <w:t xml:space="preserve">.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 However, a comprehensive comparison with other classification algorithms in 2006 showed that Bayesian classification performed worse than other approaches, such as boosted trees or random forests</w:t>
      </w:r>
      <w:r>
        <w:t xml:space="preserve"> </w:t>
      </w:r>
      <w:r>
        <w:t xml:space="preserve">. The advantage of Naive Bayes is that it requires only a small amount of training data to estimate the parameters needed for classification</w:t>
      </w:r>
      <w:r>
        <w:t xml:space="preserve"> </w:t>
      </w:r>
      <w:r>
        <w:t xml:space="preserv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w:t>
      </w:r>
      <w:r>
        <w:t xml:space="preserve"> </w:t>
      </w:r>
      <w:r>
        <w:t xml:space="preserve">.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p>
      <w:pPr>
        <w:pStyle w:val="FirstParagraph"/>
      </w:pPr>
      <w:r>
        <w:t xml:space="preserve">To estimate feature distribution parameters, we must assume a parametric distribution, or generate non-parametric models for the features from the training data set</w:t>
      </w:r>
      <w:r>
        <w:t xml:space="preserve"> </w:t>
      </w:r>
      <w:r>
        <w:t xml:space="preserve">. Assumptions about the distribution of features are called an event model or Bayesian classifier, which can introduce confusion by creating both a continuous and discrete model</w:t>
      </w:r>
      <w:r>
        <w:t xml:space="preserve"> </w:t>
      </w:r>
      <w:r>
        <w:t xml:space="preserve">.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w:t>
      </w:r>
      <w:r>
        <w:t xml:space="preserve"> </w:t>
      </w:r>
      <w:r>
        <w:t xml:space="preserve">.</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w:t>
      </w:r>
      <w:r>
        <w:t xml:space="preserve"> </w:t>
      </w:r>
      <w:r>
        <w:t xml:space="preserve">, can significantly increase the accuracy of the classifier</w:t>
      </w:r>
      <w:r>
        <w:t xml:space="preserve"> </w:t>
      </w:r>
      <w:r>
        <w:t xml:space="preserve">.</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w:t>
      </w:r>
      <w:r>
        <w:t xml:space="preserve"> </w:t>
      </w:r>
      <w:r>
        <w:t xml:space="preserve">. Gradient-based methods such as backpropagation are usually used to estimate network parameters</w:t>
      </w:r>
      <w:r>
        <w:t xml:space="preserve"> </w:t>
      </w:r>
      <w:r>
        <w:t xml:space="preserve">. During the training phase, ANNs learn from labeled training data by iteratively updating their parameters to minimize a defined loss function</w:t>
      </w:r>
      <w:r>
        <w:t xml:space="preserve"> </w:t>
      </w:r>
      <w:r>
        <w:t xml:space="preserve">.</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w:t>
      </w:r>
      <w:r>
        <w:t xml:space="preserve"> </w:t>
      </w:r>
      <w:r>
        <w:t xml:space="preserve"> </w:t>
      </w:r>
      <w:r>
        <w:t xml:space="preserve">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w:t>
      </w:r>
      <w:r>
        <w:t xml:space="preserve"> </w:t>
      </w:r>
      <w:r>
        <w:t xml:space="preserve">. AutoML and AutoKeras</w:t>
      </w:r>
      <w:r>
        <w:t xml:space="preserve"> </w:t>
      </w:r>
      <w:r>
        <w:t xml:space="preserve"> </w:t>
      </w:r>
      <w:r>
        <w:t xml:space="preserve">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w:t>
      </w:r>
      <w:r>
        <w:t xml:space="preserve"> </w:t>
      </w:r>
      <w:r>
        <w:t xml:space="preserve">. TensorFlow and Keras are used to build a custom network in Python, and the user can define layers, models, or metrics. The data, number of hidden layer units, learning rate, and number of iterations are required parameters for model training based on a book by Liu</w:t>
      </w:r>
      <w:r>
        <w:t xml:space="preserve"> </w:t>
      </w:r>
      <w:r>
        <w:t xml:space="preserve">.</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 shown in Equation 5.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w:t>
      </w:r>
      <w:r>
        <w:t xml:space="preserve"> </w:t>
      </w:r>
      <w:r>
        <w:t xml:space="preserve">. Many versions of PLS exist for estimating the factor and loading matrices, such as the PLS1 algorithm</w:t>
      </w:r>
      <w:r>
        <w:t xml:space="preserve"> </w:t>
      </w:r>
      <w:r>
        <w:t xml:space="preserve">.</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w:t>
      </w:r>
      <w:r>
        <w:t xml:space="preserve"> </w:t>
      </w:r>
      <w:r>
        <w:t xml:space="preserve">, such as Multivariate Adaptive Regression Splines (MARS) and linear discriminant analysis (LDA).</w:t>
      </w:r>
    </w:p>
    <w:p>
      <w:pPr>
        <w:pStyle w:val="BodyText"/>
      </w:pPr>
      <w:r>
        <w:t xml:space="preserve">Many predictors can be used at once in FDA</w:t>
      </w:r>
      <w:r>
        <w:t xml:space="preserve"> </w:t>
      </w:r>
      <w:r>
        <w:t xml:space="preserve">, variable interactions are automatically noted</w:t>
      </w:r>
      <w:r>
        <w:t xml:space="preserve"> </w:t>
      </w:r>
      <w:r>
        <w:t xml:space="preserve">, it is complex but execution time and computational load are adequate</w:t>
      </w:r>
      <w:r>
        <w:t xml:space="preserve"> </w:t>
      </w:r>
      <w:r>
        <w:t xml:space="preserve">. The algorithm is not significantly affected by outliers</w:t>
      </w:r>
      <w:r>
        <w:t xml:space="preserve"> </w:t>
      </w:r>
      <w:r>
        <w:t xml:space="preserve">.</w:t>
      </w:r>
    </w:p>
    <w:p>
      <w:pPr>
        <w:pStyle w:val="BodyText"/>
      </w:pPr>
      <w:r>
        <w:t xml:space="preserve">Modifying different settings has a high impact on FDA</w:t>
      </w:r>
      <w:r>
        <w:t xml:space="preserve"> </w:t>
      </w:r>
      <w:r>
        <w:t xml:space="preserve">, and the estimation might be unsuccessful if the predictor distributions are highly correlated. FDA is prone to overfitting</w:t>
      </w:r>
      <w:r>
        <w:t xml:space="preserve"> </w:t>
      </w:r>
      <w:r>
        <w:t xml:space="preserve">, and challenging to comprehend or explain</w:t>
      </w:r>
      <w:r>
        <w:t xml:space="preserve"> </w:t>
      </w:r>
      <w:r>
        <w:t xml:space="preserve">. The assumption of normality for the continuous independent variables is necessary</w:t>
      </w:r>
      <w:r>
        <w:t xml:space="preserve"> </w:t>
      </w:r>
      <w:r>
        <w:t xml:space="preserve"> </w:t>
      </w:r>
      <w:r>
        <w:t xml:space="preserve">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w:t>
      </w:r>
      <w:r>
        <w:t xml:space="preserve"> </w:t>
      </w:r>
      <w:r>
        <w:t xml:space="preserve">. The results of LDA may be utilized directly or to reduce dimensionality before classification, which is more often used</w:t>
      </w:r>
      <w:r>
        <w:t xml:space="preserve"> </w:t>
      </w:r>
      <w:r>
        <w:t xml:space="preserve">. LDA finds a linear combination of features or measurements differentiating two or more sample classes</w:t>
      </w:r>
      <w:r>
        <w:t xml:space="preserve"> </w:t>
      </w:r>
      <w:r>
        <w:t xml:space="preserve">. Discriminant analysis has continuous independent variables and a categorical dependent variable representing the groups</w:t>
      </w:r>
      <w:r>
        <w:t xml:space="preserve"> </w:t>
      </w:r>
      <w:r>
        <w:t xml:space="preserve">.</w:t>
      </w:r>
    </w:p>
    <w:p>
      <w:pPr>
        <w:pStyle w:val="BodyText"/>
      </w:pPr>
      <w:r>
        <w:t xml:space="preserve">LDA is closely related to PCA and factor analysis since they identify linear functions of multiple variables that fit the input with the smallest error</w:t>
      </w:r>
      <w:r>
        <w:t xml:space="preserve"> </w:t>
      </w:r>
      <w:r>
        <w:t xml:space="preserve">. Discriminant correspondence analysis</w:t>
      </w:r>
      <w:r>
        <w:t xml:space="preserve"> </w:t>
      </w:r>
      <w:r>
        <w:t xml:space="preserve"> </w:t>
      </w:r>
      <w:r>
        <w:t xml:space="preserve">is equivalent to LDA for categorical independent variables. Points in discriminant function analysis are rated based on quantitative predictors and a group measure</w:t>
      </w:r>
      <w:r>
        <w:t xml:space="preserve"> </w:t>
      </w:r>
      <w:r>
        <w:t xml:space="preserve"> </w:t>
      </w:r>
      <w:r>
        <w:t xml:space="preserve">to represent classification</w:t>
      </w:r>
      <w:r>
        <w:t xml:space="preserve"> </w:t>
      </w:r>
      <w:r>
        <w:t xml:space="preserve">.</w:t>
      </w:r>
    </w:p>
    <w:p>
      <w:pPr>
        <w:pStyle w:val="BodyText"/>
      </w:pPr>
      <w:r>
        <w:t xml:space="preserve">The assumptions of MANOVA are also true for discriminant analysis. The analysis is highly affected by outliers so there must be fewer predictor variables than samples in the smallest class</w:t>
      </w:r>
      <w:r>
        <w:t xml:space="preserve"> </w:t>
      </w:r>
      <w:r>
        <w:t xml:space="preserve">. In every level of the grouping variable, independent variables must be normal to achieve multivariate normality</w:t>
      </w:r>
      <w:r>
        <w:t xml:space="preserve"> </w:t>
      </w:r>
      <w:r>
        <w:t xml:space="preserve">. Box’s M statistic</w:t>
      </w:r>
      <w:r>
        <w:t xml:space="preserve"> </w:t>
      </w:r>
      <w:r>
        <w:t xml:space="preserve"> </w:t>
      </w:r>
      <w:r>
        <w:t xml:space="preserve">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w:t>
      </w:r>
      <w:r>
        <w:t xml:space="preserve"> </w:t>
      </w:r>
      <w:r>
        <w:t xml:space="preserve">. The scores of one predictor variable should not depend on other predictor variables for any sample, and the samples should be chosen at random</w:t>
      </w:r>
      <w:r>
        <w:t xml:space="preserve"> </w:t>
      </w:r>
      <w:r>
        <w:t xml:space="preserve">. Discriminant analysis can handle small deviations from these requirements</w:t>
      </w:r>
      <w:r>
        <w:t xml:space="preserve"> </w:t>
      </w:r>
      <w:r>
        <w:t xml:space="preserve"> </w:t>
      </w:r>
      <w:r>
        <w:t xml:space="preserve">and may be used even if multivariate normality is not achieved, such as for dichotomous variables</w:t>
      </w:r>
      <w:r>
        <w:t xml:space="preserve"> </w:t>
      </w:r>
      <w:r>
        <w:t xml:space="preserv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w:t>
      </w:r>
      <w:r>
        <w:t xml:space="preserve"> </w:t>
      </w:r>
      <w:r>
        <w:t xml:space="preserve">. A discriminant score describes how well a discriminant differentiates classes.</w:t>
      </w:r>
      <w:r>
        <w:t xml:space="preserve"> </w:t>
      </w:r>
      <w:r>
        <w:t xml:space="preserve">.</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w:t>
      </w:r>
      <w:r>
        <w:t xml:space="preserve"> </w:t>
      </w:r>
      <w:r>
        <w:t xml:space="preserve">. Eigenvalues do not have an upper limit</w:t>
      </w:r>
      <w:r>
        <w:t xml:space="preserve"> </w:t>
      </w:r>
      <w:r>
        <w:t xml:space="preserve">, so the results should not be taken at face value.</w:t>
      </w:r>
    </w:p>
    <w:p>
      <w:pPr>
        <w:pStyle w:val="BodyText"/>
      </w:pPr>
      <w:r>
        <w:t xml:space="preserve">Even though it is not universally accepted, some suggest eigenvalues be utilized as effect size measures</w:t>
      </w:r>
      <w:r>
        <w:t xml:space="preserve"> </w:t>
      </w:r>
      <w:r>
        <w:t xml:space="preserve">. The percent of correctly classified data, such as the kappa value, can also be used as the effect size while accounting for random matches in classification</w:t>
      </w:r>
      <w:r>
        <w:t xml:space="preserve"> </w:t>
      </w:r>
      <w:r>
        <w:t xml:space="preserve">. Kappa is not biased for any particular class, whether performance is high or low, and instead normalizes across all classes</w:t>
      </w:r>
      <w:r>
        <w:t xml:space="preserve"> </w:t>
      </w:r>
      <w:r>
        <w:t xml:space="preserve">.</w:t>
      </w:r>
    </w:p>
    <w:p>
      <w:pPr>
        <w:pStyle w:val="BodyText"/>
      </w:pPr>
      <w:r>
        <w:t xml:space="preserve">Fisher’s linear discriminant and LDA are sometimes considered synonyms. However, Fisher</w:t>
      </w:r>
      <w:r>
        <w:t xml:space="preserve"> </w:t>
      </w:r>
      <w:r>
        <w:t xml:space="preserve"> </w:t>
      </w:r>
      <w:r>
        <w:t xml:space="preserve">describes a slightly different discriminant, which does not make some of the assumptions of LDA such as a normal distribution or the equality of covariances for groups. The application of the Fisher discriminant is expanded to find a subspace capturing all class variability</w:t>
      </w:r>
      <w:r>
        <w:t xml:space="preserve"> </w:t>
      </w:r>
      <w:r>
        <w:t xml:space="preserve"> </w:t>
      </w:r>
      <w:r>
        <w:t xml:space="preserve">for multiple groups, as suggested by C. R. Rao</w:t>
      </w:r>
      <w:r>
        <w:t xml:space="preserve"> </w:t>
      </w:r>
      <w:r>
        <w:t xml:space="preserve">.</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w:t>
      </w:r>
      <w:r>
        <w:t xml:space="preserve"> </w:t>
      </w:r>
      <w:r>
        <w:t xml:space="preserve">.</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w:t>
      </w:r>
      <w:r>
        <w:t xml:space="preserve"> </w:t>
      </w:r>
      <w:r>
        <w:t xml:space="preserve">. CCA does the same for the cross-covariance between two datasets. Robust and L1-norm-based variants of standard PCA have also been proposed</w:t>
      </w:r>
      <w:r>
        <w:t xml:space="preserve"> </w:t>
      </w:r>
      <w:r>
        <w:t xml:space="preserve">.</w:t>
      </w:r>
    </w:p>
    <w:p>
      <w:pPr>
        <w:pStyle w:val="BodyText"/>
      </w:pPr>
      <w:r>
        <w:t xml:space="preserve">Karl Pearson</w:t>
      </w:r>
      <w:r>
        <w:t xml:space="preserve"> </w:t>
      </w:r>
      <w:r>
        <w:t xml:space="preserve"> </w:t>
      </w:r>
      <w:r>
        <w:t xml:space="preserve">conceived of PCA in 1901 as a counterpart of the principal axis theorem in mechanics</w:t>
      </w:r>
      <w:r>
        <w:t xml:space="preserve"> </w:t>
      </w:r>
      <w:r>
        <w:t xml:space="preserve">. Harold Hotelling discovered the Hotelling transform in multivariate quality control in the 1930s without knowledge of the previous work</w:t>
      </w:r>
      <w:r>
        <w:t xml:space="preserve"> </w:t>
      </w:r>
      <w:r>
        <w:t xml:space="preserve">. Synonyms for PCA include the discrete proper orthogonal decomposition (POD)</w:t>
      </w:r>
      <w:r>
        <w:t xml:space="preserve"> </w:t>
      </w:r>
      <w:r>
        <w:t xml:space="preserve"> </w:t>
      </w:r>
      <w:r>
        <w:t xml:space="preserve">in mechanical engineering and the Kosambi–Karhunen–Loève or Karhunen–Loève theorem (KLT)</w:t>
      </w:r>
      <w:r>
        <w:t xml:space="preserve"> </w:t>
      </w:r>
      <w:r>
        <w:t xml:space="preserve"> </w:t>
      </w:r>
      <w:r>
        <w:t xml:space="preserve">in signal processing. Singular value decomposition (SVD) of X, established in the final quarter of the 19th century</w:t>
      </w:r>
      <w:r>
        <w:t xml:space="preserve"> </w:t>
      </w:r>
      <w:r>
        <w:t xml:space="preserve">,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w:t>
      </w:r>
      <w:r>
        <w:t xml:space="preserve"> </w:t>
      </w:r>
      <w:r>
        <w:t xml:space="preserve">. Factor analysis differs in several key features</w:t>
      </w:r>
      <w:r>
        <w:t xml:space="preserve"> </w:t>
      </w:r>
      <w:r>
        <w:t xml:space="preserve">, but has many aspects in common with PCA. Empirical orthogonal functions (EOF)</w:t>
      </w:r>
      <w:r>
        <w:t xml:space="preserve"> </w:t>
      </w:r>
      <w:r>
        <w:t xml:space="preserve"> </w:t>
      </w:r>
      <w:r>
        <w:t xml:space="preserve">in meteorological science were developed by Lorenz in 1956</w:t>
      </w:r>
      <w:r>
        <w:t xml:space="preserve"> </w:t>
      </w:r>
      <w:r>
        <w:t xml:space="preserve">. The Eckart–Young theorem</w:t>
      </w:r>
      <w:r>
        <w:t xml:space="preserve"> </w:t>
      </w:r>
      <w:r>
        <w:t xml:space="preserve"> </w:t>
      </w:r>
      <w:r>
        <w:t xml:space="preserve">and quasiharmonic modes</w:t>
      </w:r>
      <w:r>
        <w:t xml:space="preserve"> </w:t>
      </w:r>
      <w:r>
        <w:t xml:space="preserve"> </w:t>
      </w:r>
      <w:r>
        <w:t xml:space="preserve">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w:t>
      </w:r>
      <w:r>
        <w:t xml:space="preserve"> </w:t>
      </w:r>
      <w:r>
        <w:t xml:space="preserve">. The significance of the principal components can be checked with parametric bootstrap for a smaller dataset to help decide how many principal components to keep</w:t>
      </w:r>
      <w:r>
        <w:t xml:space="preserve"> </w:t>
      </w:r>
      <w:r>
        <w:t xml:space="preserve">.</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6</w:t>
      </w:r>
      <w:r>
        <w:t xml:space="preserve"> </w:t>
      </w:r>
      <w:r>
        <w:t xml:space="preserve"> </w:t>
      </w:r>
      <w:r>
        <w:t xml:space="preserve">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6</m:t>
              </m:r>
            </m:e>
          </m:d>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7</w:t>
      </w:r>
      <w:r>
        <w:t xml:space="preserve"> </w:t>
      </w:r>
      <w:r>
        <w:t xml:space="preserve">.</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7</m:t>
              </m:r>
            </m:e>
          </m:d>
        </m:oMath>
      </m:oMathPara>
    </w:p>
    <w:p>
      <w:pPr>
        <w:pStyle w:val="FirstParagraph"/>
      </w:pPr>
      <w:r>
        <w:t xml:space="preserve">Appleton’s formula in Equation 8 reasonably approximates the relationship between the refraction index and the free electron density distribution</w:t>
      </w:r>
      <w:r>
        <w:t xml:space="preserve"> </w:t>
      </w:r>
      <w:r>
        <w:t xml:space="preserve">.</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r>
            <m:t> </m:t>
          </m:r>
          <m:d>
            <m:dPr>
              <m:begChr m:val="("/>
              <m:endChr m:val=")"/>
              <m:sepChr m:val=""/>
              <m:grow/>
            </m:dPr>
            <m:e>
              <m:r>
                <m:t>8</m:t>
              </m:r>
            </m:e>
          </m:d>
        </m:oMath>
      </m:oMathPara>
    </w:p>
    <w:p>
      <w:pPr>
        <w:pStyle w:val="FirstParagraph"/>
      </w:pPr>
      <w:r>
        <w:t xml:space="preserve">The combination of Equation 6 and Equation 8 yields Equation 9 that directly describes the relationship between the free electron density profile and the GPS ionospheric delay</w:t>
      </w:r>
      <w:r>
        <w:t xml:space="preserve"> </w:t>
      </w:r>
      <w:r>
        <w:t xml:space="preserve">.</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9</m:t>
              </m:r>
            </m:e>
          </m:d>
        </m:oMath>
      </m:oMathPara>
    </w:p>
    <w:p>
      <w:pPr>
        <w:pStyle w:val="FirstParagraph"/>
      </w:pPr>
      <w:r>
        <w:t xml:space="preserve">The</w:t>
      </w:r>
      <w:r>
        <w:t xml:space="preserve"> </w:t>
      </w:r>
      <m:oMath>
        <m:r>
          <m:t>T</m:t>
        </m:r>
        <m:r>
          <m:t>E</m:t>
        </m:r>
        <m:r>
          <m:t>C</m:t>
        </m:r>
      </m:oMath>
      <w:r>
        <w:t xml:space="preserve"> </w:t>
      </w:r>
      <w:r>
        <w:t xml:space="preserve"> </w:t>
      </w:r>
      <w:r>
        <w:t xml:space="preserve">in Equation 10 is calculated using the integral on the right side of Equation 9.</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10</m:t>
              </m:r>
            </m:e>
          </m:d>
        </m:oMath>
      </m:oMathPara>
    </w:p>
    <w:p>
      <w:pPr>
        <w:pStyle w:val="FirstParagraph"/>
      </w:pPr>
      <w:r>
        <w:t xml:space="preserve">Using equation Equation 10, Equation 9 can be written as shown in Equation 11.</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11</m:t>
              </m:r>
            </m:e>
          </m:d>
        </m:oMath>
      </m:oMathPara>
    </w:p>
    <w:p>
      <w:pPr>
        <w:pStyle w:val="FirstParagraph"/>
      </w:pPr>
      <w:r>
        <w:t xml:space="preserve">Following the same analogy, the equivalent GPS ionospheric delay is calculated in Equation 12.</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12</m:t>
              </m:r>
            </m:e>
          </m:d>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12, the relation between the</w:t>
      </w:r>
      <w:r>
        <w:t xml:space="preserve"> </w:t>
      </w:r>
      <m:oMath>
        <m:r>
          <m:t>T</m:t>
        </m:r>
        <m:r>
          <m:t>E</m:t>
        </m:r>
        <m:r>
          <m:t>C</m:t>
        </m:r>
      </m:oMath>
      <w:r>
        <w:t xml:space="preserve"> </w:t>
      </w:r>
      <w:r>
        <w:t xml:space="preserve">and GPS pseudo-range measurements can be established in Equation 13</w:t>
      </w:r>
      <w:r>
        <w:t xml:space="preserve"> </w:t>
      </w:r>
      <w:r>
        <w:t xml:space="preserve">:</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r>
            <m:t> </m:t>
          </m:r>
          <m:d>
            <m:dPr>
              <m:begChr m:val="("/>
              <m:endChr m:val=")"/>
              <m:sepChr m:val=""/>
              <m:grow/>
            </m:dPr>
            <m:e>
              <m:r>
                <m:t>13</m:t>
              </m:r>
            </m:e>
          </m:d>
        </m:oMath>
      </m:oMathPara>
    </w:p>
    <w:p>
      <w:pPr>
        <w:pStyle w:val="FirstParagraph"/>
      </w:pPr>
      <w:r>
        <w:t xml:space="preserve">Equation 13 can be rewritten as in Equation 14,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14.</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r>
            <m:t> </m:t>
          </m:r>
          <m:d>
            <m:dPr>
              <m:begChr m:val="("/>
              <m:endChr m:val=")"/>
              <m:sepChr m:val=""/>
              <m:grow/>
            </m:dPr>
            <m:e>
              <m:r>
                <m:t>14</m:t>
              </m:r>
            </m:e>
          </m:d>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15</w:t>
      </w:r>
      <w:r>
        <w:t xml:space="preserve"> </w:t>
      </w:r>
      <w:r>
        <w:t xml:space="preserve">. A cosine-like daily dynamic of GPS ionospheric delay values is assumed in the Klobuchar model, with the daily maximum appearing around 14:00 in local time</w:t>
      </w:r>
      <w:r>
        <w:t xml:space="preserve"> </w:t>
      </w:r>
      <w:r>
        <w:t xml:space="preserve">.</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r>
            <m:t> </m:t>
          </m:r>
          <m:d>
            <m:dPr>
              <m:begChr m:val="("/>
              <m:endChr m:val=")"/>
              <m:sepChr m:val=""/>
              <m:grow/>
            </m:dPr>
            <m:e>
              <m:r>
                <m:t>15</m:t>
              </m:r>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w:t>
      </w:r>
      <w:r>
        <w:t xml:space="preserve"> </w:t>
      </w:r>
      <w:r>
        <w:t xml:space="preserve">, so this step was also applied to the input data before training the models in this study. There are many ways to standardize data, such as minimum-maximum, normalization by decimal scaling, and Z-score</w:t>
      </w:r>
      <w:r>
        <w:t xml:space="preserve"> </w:t>
      </w:r>
      <w:r>
        <w:t xml:space="preserve">. Subtracting the mean and dividing by the variance for each feature are commonly used for Support Vector Machines (SVMs)</w:t>
      </w:r>
      <w:r>
        <w:t xml:space="preserve"> </w:t>
      </w:r>
      <w:r>
        <w:t xml:space="preserve"> </w:t>
      </w:r>
      <w:r>
        <w:t xml:space="preserve">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w:t>
      </w:r>
      <w:r>
        <w:t xml:space="preserve"> </w:t>
      </w:r>
      <w:r>
        <w:t xml:space="preserve">.</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w:t>
      </w:r>
      <w:r>
        <w:t xml:space="preserve"> </w:t>
      </w:r>
      <w:r>
        <w:t xml:space="preserve"> </w:t>
      </w:r>
      <w:r>
        <w:t xml:space="preserve">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w:t>
      </w:r>
      <w:r>
        <w:t xml:space="preserve"> </w:t>
      </w:r>
      <w:r>
        <w:t xml:space="preserve"> </w:t>
      </w:r>
      <w:r>
        <w:t xml:space="preserve">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16.</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16</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17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17</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18 denotes all such events. Equation 19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18</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19</m:t>
              </m:r>
            </m:e>
          </m:d>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w:t>
      </w:r>
      <w:r>
        <w:t xml:space="preserve"> </w:t>
      </w:r>
      <w:r>
        <w:t xml:space="preserve">.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w:t>
      </w:r>
      <w:r>
        <w:t xml:space="preserve"> </w:t>
      </w:r>
      <w:r>
        <w:t xml:space="preserve">. Galton was the first to use a statistic similar to Cohen’s kappa in 1892</w:t>
      </w:r>
      <w:r>
        <w:t xml:space="preserve"> </w:t>
      </w:r>
      <w:r>
        <w:t xml:space="preserve">. Jacob Cohen formally described the kappa coefficient in 1960 in the journal "Educational and Psychological Measurement"</w:t>
      </w:r>
      <w:r>
        <w:t xml:space="preserve"> </w:t>
      </w:r>
      <w:r>
        <w:t xml:space="preserve">.</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20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20</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w:t>
      </w:r>
      <w:r>
        <w:t xml:space="preserve"> </w:t>
      </w:r>
      <w:r>
        <w:t xml:space="preserve"> </w:t>
      </w:r>
      <w:r>
        <w:t xml:space="preserve">there is no match between the raters, which can reflect a real tendency of the raters to give differing ratings.</w:t>
      </w:r>
    </w:p>
    <w:p>
      <w:pPr>
        <w:pStyle w:val="BodyText"/>
      </w:pPr>
      <w:r>
        <w:t xml:space="preserve">Equation 21 is derived from the construction in Equation 22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21</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22</m:t>
              </m:r>
            </m:e>
          </m:d>
        </m:oMath>
      </m:oMathPara>
    </w:p>
    <w:p>
      <w:pPr>
        <w:pStyle w:val="FirstParagraph"/>
      </w:pPr>
      <w:r>
        <w:t xml:space="preserve">If ratings are independent Equation 23,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23</m:t>
              </m:r>
            </m:e>
          </m:d>
        </m:oMath>
      </m:oMathPara>
    </w:p>
    <w:p>
      <w:pPr>
        <w:pStyle w:val="FirstParagraph"/>
      </w:pPr>
      <w:r>
        <w:t xml:space="preserve">Equation 24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24</m:t>
              </m:r>
            </m:e>
          </m:d>
        </m:oMath>
      </m:oMathPara>
    </w:p>
    <w:p>
      <w:pPr>
        <w:pStyle w:val="FirstParagraph"/>
      </w:pPr>
      <w:r>
        <w:t xml:space="preserve">(and similarly for rater</w:t>
      </w:r>
      <w:r>
        <w:t xml:space="preserve"> </w:t>
      </w:r>
      <m:oMath>
        <m:r>
          <m:t>2</m:t>
        </m:r>
      </m:oMath>
      <w:r>
        <w:t xml:space="preserve">).</w:t>
      </w:r>
    </w:p>
    <w:p>
      <w:pPr>
        <w:pStyle w:val="BodyText"/>
      </w:pPr>
      <w:r>
        <w:t xml:space="preserve">Equation 25 contains the Cohen’s Kappa formula</w:t>
      </w:r>
      <w:r>
        <w:t xml:space="preserve"> </w:t>
      </w:r>
      <w:r>
        <w:t xml:space="preserve"> </w:t>
      </w:r>
      <w:r>
        <w:t xml:space="preserve">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25</m:t>
              </m:r>
            </m:e>
          </m:d>
        </m:oMath>
      </m:oMathPara>
    </w:p>
    <w:p>
      <w:pPr>
        <w:pStyle w:val="FirstParagraph"/>
      </w:pPr>
      <w:r>
        <w:t xml:space="preserve">In this scenario, Cohen’s Kappa equals the Heidke skill score introduced by Myrick Haskell Doolittle in 1888</w:t>
      </w:r>
      <w:r>
        <w:t xml:space="preserve"> </w:t>
      </w:r>
      <w:r>
        <w:t xml:space="preserve">.</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w:t>
      </w:r>
      <w:r>
        <w:t xml:space="preserve"> </w:t>
      </w:r>
      <w:r>
        <w:t xml:space="preserve"> </w:t>
      </w:r>
      <w:r>
        <w:t xml:space="preserve">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2024-10-15T14:21:29Z</dcterms:created>
  <dcterms:modified xsi:type="dcterms:W3CDTF">2024-10-15T14:21:29Z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