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w:t>
      </w:r>
    </w:p>
    <w:p>
      <w:pPr>
        <w:pStyle w:val="BodyText"/>
      </w:pPr>
      <w:r>
        <w:t xml:space="preserve">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w:t>
      </w:r>
    </w:p>
    <w:p>
      <w:pPr>
        <w:pStyle w:val="BodyText"/>
      </w:pPr>
      <w:r>
        <w:t xml:space="preserve">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w:t>
      </w:r>
    </w:p>
    <w:p>
      <w:pPr>
        <w:pStyle w:val="BodyText"/>
      </w:pPr>
      <w:r>
        <w:t xml:space="preserve">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w:t>
      </w:r>
    </w:p>
    <w:p>
      <w:pPr>
        <w:pStyle w:val="BodyText"/>
      </w:pPr>
      <w:r>
        <w:t xml:space="preserve">How space weather affects GNSS PNT performance was explained using the Space weather – GNSS PNT performance coupling model</w:t>
      </w:r>
      <w:r>
        <w:t xml:space="preserve"> </w:t>
      </w:r>
      <w:r>
        <w:t xml:space="preserve">,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w:t>
      </w:r>
      <w:r>
        <w:t xml:space="preserve"> </w:t>
      </w:r>
      <w:r>
        <w:t xml:space="preserv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w:t>
      </w:r>
      <w:r>
        <w:t xml:space="preserve"> </w:t>
      </w:r>
      <w:r>
        <w:t xml:space="preserve">, or outlier detection</w:t>
      </w:r>
      <w:r>
        <w:t xml:space="preserve"> </w:t>
      </w:r>
      <w:r>
        <w:t xml:space="preserve">.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Support Vector Clustering (SVC)</w:t>
      </w:r>
      <w:r>
        <w:t xml:space="preserve"> </w:t>
      </w:r>
      <w:r>
        <w:t xml:space="preserve"> </w:t>
      </w:r>
      <w:r>
        <w:t xml:space="preserve">is a related method for clustering unlabeled data.</w:t>
      </w:r>
    </w:p>
    <w:p>
      <w:pPr>
        <w:pStyle w:val="BodyText"/>
      </w:pPr>
      <w:r>
        <w:t xml:space="preserve">Meyer, Leisch, and Hornik compared SVM models with other classifiers</w:t>
      </w:r>
      <w:r>
        <w:t xml:space="preserve"> </w:t>
      </w:r>
      <w:r>
        <w:t xml:space="preserve">.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w:t>
      </w:r>
      <w:r>
        <w:t xml:space="preserve"> </w:t>
      </w:r>
      <w:r>
        <w:t xml:space="preserve">.</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w:t>
      </w:r>
      <w:r>
        <w:t xml:space="preserve"> </w:t>
      </w:r>
      <w:r>
        <w:t xml:space="preserve">, and machine learning. Classification trees use a discrete target variable, while regression trees can handle continuous values</w:t>
      </w:r>
      <w:r>
        <w:t xml:space="preserve"> </w:t>
      </w:r>
      <w:r>
        <w:t xml:space="preserve">. DT models are popular due to their comprehensibility and simplicity</w:t>
      </w:r>
      <w:r>
        <w:t xml:space="preserve"> </w:t>
      </w:r>
      <w:r>
        <w:t xml:space="preserve">.</w:t>
      </w:r>
    </w:p>
    <w:p>
      <w:pPr>
        <w:pStyle w:val="BodyText"/>
      </w:pPr>
      <w:r>
        <w:t xml:space="preserve">A tree is recursively partitioned by dividing the original set, or root node, into subsets that form descendants, or successors, using classification rules based on features</w:t>
      </w:r>
      <w:r>
        <w:t xml:space="preserve"> </w:t>
      </w:r>
      <w:r>
        <w:t xml:space="preserve">. This process of Top-Down Induction of Decision Trees (TDIDT)</w:t>
      </w:r>
      <w:r>
        <w:t xml:space="preserve"> </w:t>
      </w:r>
      <w:r>
        <w:t xml:space="preserve"> </w:t>
      </w:r>
      <w:r>
        <w:t xml:space="preserve">is an example of a greedy algorithm that is the most common strategy for learning DT models from data</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These classifiers are among the simplest Bayesian network models</w:t>
      </w:r>
      <w:r>
        <w:t xml:space="preserve"> </w:t>
      </w:r>
      <w:r>
        <w:t xml:space="preserve">, but a NB classifier model is not necessarily a Bayesian method. Maximum likelihood training evaluates a closed-form expression</w:t>
      </w:r>
      <w:r>
        <w:t xml:space="preserve"> </w:t>
      </w:r>
      <w:r>
        <w:t xml:space="preserve"> </w:t>
      </w:r>
      <w:r>
        <w:t xml:space="preserve">in linear time instead of using iterative approximation.</w:t>
      </w:r>
    </w:p>
    <w:p>
      <w:pPr>
        <w:pStyle w:val="BodyText"/>
      </w:pPr>
      <w:r>
        <w:t xml:space="preserve">Despite their simplicity, NB classifier models have performed well in real-world situations</w:t>
      </w:r>
      <w:r>
        <w:t xml:space="preserve"> </w:t>
      </w:r>
      <w:r>
        <w:t xml:space="preserve">. However, a comprehensive comparison in 2006 showed that Bayesian classification performed worse than boosted trees or Random Forest (RF)</w:t>
      </w:r>
      <w:r>
        <w:t xml:space="preserve"> </w:t>
      </w:r>
      <w:r>
        <w:t xml:space="preserve">. An advantage of NB over other models is a smaller amount of training data</w:t>
      </w:r>
      <w:r>
        <w:t xml:space="preserve"> </w:t>
      </w:r>
      <w:r>
        <w:t xml:space="preserve">.</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w:t>
      </w:r>
      <w:r>
        <w:t xml:space="preserve"> </w:t>
      </w:r>
      <w:r>
        <w:t xml:space="preserve">. The model can be reformulated using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w:t>
      </w:r>
    </w:p>
    <w:p>
      <w:pPr>
        <w:pStyle w:val="BodyText"/>
      </w:pPr>
      <w:r>
        <w:t xml:space="preserve">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w:t>
      </w:r>
    </w:p>
    <w:p>
      <w:pPr>
        <w:pStyle w:val="BodyText"/>
      </w:pPr>
      <w:r>
        <w:t xml:space="preserve">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w:t>
      </w:r>
      <w:r>
        <w:t xml:space="preserve">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(projections) form an orthogonal basis in PLS regression, and the loadings are chosen to achieve this. In PCA orthogonality is not imposed on scores</w:t>
      </w:r>
      <w:r>
        <w:t xml:space="preserve"> </w:t>
      </w:r>
      <w:r>
        <w:t xml:space="preserve"> </w:t>
      </w:r>
      <w:r>
        <w:t xml:space="preserve">but onto loadings instead</w:t>
      </w:r>
      <w:r>
        <w:t xml:space="preserve"> </w:t>
      </w:r>
      <w:r>
        <w:t xml:space="preserve">. Many versions of PLS exist</w:t>
      </w:r>
      <w:r>
        <w:t xml:space="preserve"> </w:t>
      </w:r>
      <w:r>
        <w:t xml:space="preserve"> </w:t>
      </w:r>
      <w:r>
        <w:t xml:space="preserve">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and variable interactions are automatically noted</w:t>
      </w:r>
      <w:r>
        <w:t xml:space="preserve"> </w:t>
      </w:r>
      <w:r>
        <w:t xml:space="preserve">. FDA is complex but execution time and computational load are adequate</w:t>
      </w:r>
      <w:r>
        <w:t xml:space="preserve"> </w:t>
      </w:r>
      <w:r>
        <w:t xml:space="preserve">. The algorithm is not largely affected by outliers</w:t>
      </w:r>
      <w:r>
        <w:t xml:space="preserve"> </w:t>
      </w:r>
      <w:r>
        <w:t xml:space="preserve">.</w:t>
      </w:r>
    </w:p>
    <w:p>
      <w:pPr>
        <w:pStyle w:val="BodyText"/>
      </w:pPr>
      <w:r>
        <w:t xml:space="preserve">Changed settings significantly alter FDA</w:t>
      </w:r>
      <w:r>
        <w:t xml:space="preserve"> </w:t>
      </w:r>
      <w:r>
        <w:t xml:space="preserve">, and estimation might fail if predictors are correlated. FDA is prone to overfitting</w:t>
      </w:r>
      <w:r>
        <w:t xml:space="preserve"> </w:t>
      </w:r>
      <w:r>
        <w:t xml:space="preserve">, and challenging to comprehend</w:t>
      </w:r>
      <w:r>
        <w:t xml:space="preserve"> </w:t>
      </w:r>
      <w:r>
        <w:t xml:space="preserve">. Feature normality and equal group covariances are assumed</w:t>
      </w:r>
      <w:r>
        <w:t xml:space="preserve"> </w:t>
      </w:r>
      <w:r>
        <w:t xml:space="preserve">.</w:t>
      </w:r>
    </w:p>
    <w:p>
      <w:pPr>
        <w:pStyle w:val="BodyText"/>
      </w:pPr>
      <w:r>
        <w:t xml:space="preserve">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as demonstrated in this experiment, but they are more often used to reduce dimensionality</w:t>
      </w:r>
      <w:r>
        <w:t xml:space="preserve"> </w:t>
      </w:r>
      <w:r>
        <w:t xml:space="preserve">.</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Changes in the ionosphere include the density distribution,</w:t>
      </w:r>
      <w:r>
        <w:t xml:space="preserve"> </w:t>
      </w:r>
      <m:oMath>
        <m:r>
          <m:t>T</m:t>
        </m:r>
        <m:r>
          <m:t>E</m:t>
        </m:r>
        <m:r>
          <m:t>C</m:t>
        </m:r>
      </m:oMath>
      <w:r>
        <w:t xml:space="preserve">, and the current balance</w:t>
      </w:r>
      <w:r>
        <w:t xml:space="preserve"> </w:t>
      </w:r>
      <w:r>
        <w:t xml:space="preserve">.</w:t>
      </w:r>
    </w:p>
    <w:p>
      <w:pPr>
        <w:pStyle w:val="BodyText"/>
      </w:pPr>
      <w:r>
        <w:t xml:space="preserve">Geomagnetic storms cause signal deterioration by affecting Global Electric Current (GEC) variability</w:t>
      </w:r>
      <w:r>
        <w:t xml:space="preserve"> </w:t>
      </w:r>
      <w:r>
        <w:t xml:space="preserve">. The ionosphere may show changes related to location, geomagnetic and solar activity, sunspots, local time</w:t>
      </w:r>
      <w:r>
        <w:t xml:space="preserve"> </w:t>
      </w:r>
      <w:r>
        <w:t xml:space="preserve">, seasonality, thunderstorms</w:t>
      </w:r>
      <w:r>
        <w:t xml:space="preserve"> </w:t>
      </w:r>
      <w:r>
        <w:t xml:space="preserve">, nuclear experiments, earthquakes</w:t>
      </w:r>
      <w:r>
        <w:t xml:space="preserve"> </w:t>
      </w:r>
      <w:r>
        <w:t xml:space="preserve">, and other phenomena.</w:t>
      </w:r>
    </w:p>
    <w:p>
      <w:pPr>
        <w:pStyle w:val="BodyText"/>
      </w:pPr>
      <w:r>
        <w:t xml:space="preserve">Many parameters can describe the Earth’s geomagnetic field</w:t>
      </w:r>
      <w:r>
        <w:t xml:space="preserve"> </w:t>
      </w:r>
      <w:r>
        <w:t xml:space="preserve">.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w:r>
        <w:t xml:space="preserve">,</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w:t>
      </w:r>
      <w:r>
        <w:t xml:space="preserve"> </w:t>
      </w:r>
      <w:r>
        <w:t xml:space="preserve"> </w:t>
      </w:r>
      <w:r>
        <w:t xml:space="preserve">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w:t>
      </w:r>
      <w:r>
        <w:t xml:space="preserve"> </w:t>
      </w:r>
      <w:r>
        <w:t xml:space="preserve"> </w:t>
      </w:r>
      <w:r>
        <w:t xml:space="preserve">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w:t>
      </w:r>
      <w:r>
        <w:t xml:space="preserve"> </w:t>
      </w:r>
      <w:r>
        <w:t xml:space="preserve"> </w:t>
      </w:r>
      <w:r>
        <w:t xml:space="preserve">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w:t>
      </w:r>
      <w:r>
        <w:t xml:space="preserve"> </w:t>
      </w:r>
      <w:r>
        <w:t xml:space="preserve"> </w:t>
      </w:r>
      <w:r>
        <w:t xml:space="preserve">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w:t>
      </w:r>
    </w:p>
    <w:p>
      <w:pPr>
        <w:pStyle w:val="BodyText"/>
      </w:pPr>
      <w:r>
        <w:t xml:space="preserve">The</w:t>
      </w:r>
      <w:r>
        <w:t xml:space="preserve"> </w:t>
      </w:r>
      <m:oMath>
        <m:sSub>
          <m:e>
            <m:r>
              <m:t>K</m:t>
            </m:r>
          </m:e>
          <m:sub>
            <m:r>
              <m:t>p</m:t>
            </m:r>
          </m:sub>
        </m:sSub>
      </m:oMath>
      <w:r>
        <w:t xml:space="preserve">-index as related to geomagnetic storm descriptions and warnings using the NOAA G scale</w:t>
      </w:r>
      <w:r>
        <w:t xml:space="preserve"> </w:t>
      </w:r>
      <w:r>
        <w:t xml:space="preserve"> </w:t>
      </w:r>
      <w:r>
        <w:t xml:space="preserve">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w:t>
      </w:r>
      <w:r>
        <w:t xml:space="preserve"> </w:t>
      </w:r>
      <w:r>
        <w:t xml:space="preserve"> </w:t>
      </w:r>
      <w:r>
        <w:t xml:space="preserve">and a scientific publication</w:t>
      </w:r>
      <w:r>
        <w:t xml:space="preserve"> </w:t>
      </w:r>
      <w:r>
        <w:t xml:space="preserve"> </w:t>
      </w:r>
      <w:r>
        <w:t xml:space="preserve">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w:t>
      </w:r>
      <w:r>
        <w:t xml:space="preserve"> </w:t>
      </w:r>
      <w:r>
        <w:t xml:space="preserve">.</w:t>
      </w:r>
    </w:p>
    <w:tbl>
      <w:tblPr>
        <w:tblStyle w:val="Table"/>
        <w:tblW w:type="auto" w:w="0"/>
        <w:tblLook w:firstRow="1" w:lastRow="0" w:firstColumn="0" w:lastColumn="0" w:noHBand="0" w:noVBand="0" w:val="0020"/>
        <w:tblCaption w:val="The K_{p}-index as related to geomagnetic storm descriptions and warnings using the NOAA G scale ."/>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w:t>
      </w:r>
      <w:r>
        <w:t xml:space="preserve"> </w:t>
      </w:r>
      <w:r>
        <w:t xml:space="preserve"> </w:t>
      </w:r>
      <w:r>
        <w:t xml:space="preserve">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w:t>
      </w:r>
      <w:r>
        <w:t xml:space="preserve"> </w:t>
      </w:r>
      <w:r>
        <w:t xml:space="preserve">.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w:t>
      </w:r>
      <w:r>
        <w:t xml:space="preserve"> </w:t>
      </w:r>
      <w:r>
        <w:t xml:space="preserv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p>
    <w:p>
      <w:pPr>
        <w:pStyle w:val="BodyText"/>
      </w:pPr>
      <m:oMathPara>
        <m:oMathParaPr>
          <m:jc m:val="center"/>
        </m:oMathParaP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oMath>
      </m:oMathPara>
    </w:p>
    <w:p>
      <w:pPr>
        <w:pStyle w:val="FirstParagraph"/>
      </w:pPr>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w:t>
      </w:r>
      <w:r>
        <w:t xml:space="preserve"> </w:t>
      </w:r>
      <w:r>
        <w:t xml:space="preserve">.</w:t>
      </w:r>
    </w:p>
    <w:tbl>
      <w:tblPr>
        <w:tblStyle w:val="Table"/>
        <w:tblW w:type="auto" w:w="0"/>
        <w:tblLook w:firstRow="1" w:lastRow="0" w:firstColumn="0" w:lastColumn="0" w:noHBand="0" w:noVBand="0" w:val="0020"/>
        <w:tblCaption w:val="The a-index values for each K-index, from ."/>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w:t>
      </w:r>
      <w:r>
        <w:t xml:space="preserve"> </w:t>
      </w:r>
      <w:r>
        <w:t xml:space="preserve">.</w:t>
      </w:r>
    </w:p>
    <w:tbl>
      <w:tblPr>
        <w:tblStyle w:val="Table"/>
        <w:tblW w:type="auto" w:w="0"/>
        <w:tblLook w:firstRow="1" w:lastRow="0" w:firstColumn="0" w:lastColumn="0" w:noHBand="0" w:noVBand="0" w:val="0020"/>
        <w:tblCaption w:val="The a_{p}-index values for each K_{p}-index, from ."/>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w:t>
      </w:r>
      <w:r>
        <w:t xml:space="preserve"> </w:t>
      </w:r>
      <w:r>
        <w:t xml:space="preserve">, and the Geomagnetism and Space Magnetism Data Analysis Center of the Institute of Science, Kyoto University in Japan.</w:t>
      </w:r>
    </w:p>
    <w:p>
      <w:pPr>
        <w:pStyle w:val="BodyText"/>
      </w:pPr>
      <w:r>
        <w:t xml:space="preserve">Loewe and Prölss</w:t>
      </w:r>
      <w:r>
        <w:t xml:space="preserve"> </w:t>
      </w:r>
      <w:r>
        <w:t xml:space="preserve"> </w:t>
      </w:r>
      <w:r>
        <w:t xml:space="preserve">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w:t>
      </w:r>
      <w:r>
        <w:t xml:space="preserve"> </w:t>
      </w:r>
      <w:r>
        <w:t xml:space="preserve"> </w:t>
      </w:r>
      <w:r>
        <w:t xml:space="preserve">used three groups for the same data in 1994, as shown in Table </w:t>
      </w:r>
      <w:hyperlink w:anchor="tab:gonzalez1994">
        <w:r>
          <w:rPr>
            <w:rStyle w:val="Hyperlink"/>
          </w:rPr>
          <w:t xml:space="preserve">7</w:t>
        </w:r>
      </w:hyperlink>
      <w:r>
        <w:t xml:space="preserve">, similar to Kamide et al. in 1998</w:t>
      </w:r>
      <w:r>
        <w:t xml:space="preserve"> </w:t>
      </w:r>
      <w:r>
        <w:t xml:space="preserve">, Rozhnoi et al. in 2004</w:t>
      </w:r>
      <w:r>
        <w:t xml:space="preserve"> </w:t>
      </w:r>
      <w:r>
        <w:t xml:space="preserve">, and Contadakis et al. in 2012</w:t>
      </w:r>
      <w:r>
        <w:t xml:space="preserve"> </w:t>
      </w:r>
      <w:r>
        <w:t xml:space="preserve">.</w:t>
      </w:r>
    </w:p>
    <w:bookmarkStart w:id="37" w:name="tab:loewe1997"/>
    <w:p>
      <w:pPr>
        <w:pStyle w:val="TableCaption"/>
      </w:pPr>
      <w:r>
        <w:t xml:space="preserve">Storm classification from Loewe and Prölss, in 1997</w:t>
      </w:r>
      <w:r>
        <w:t xml:space="preserve"> </w:t>
      </w:r>
      <w:r>
        <w:t xml:space="preserve">.</w:t>
      </w:r>
    </w:p>
    <w:tbl>
      <w:tblPr>
        <w:tblStyle w:val="Table"/>
        <w:tblW w:type="auto" w:w="0"/>
        <w:tblLook w:firstRow="0" w:lastRow="0" w:firstColumn="0" w:lastColumn="0" w:noHBand="0" w:noVBand="0" w:val="0000"/>
        <w:tblCaption w:val="Storm classification from Loewe and Prölss, in 1997 ."/>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w:t>
      </w:r>
      <w:r>
        <w:t xml:space="preserve"> </w:t>
      </w:r>
      <w:r>
        <w:t xml:space="preserve">.</w:t>
      </w:r>
    </w:p>
    <w:tbl>
      <w:tblPr>
        <w:tblStyle w:val="Table"/>
        <w:tblW w:type="auto" w:w="0"/>
        <w:tblLook w:firstRow="0" w:lastRow="0" w:firstColumn="0" w:lastColumn="0" w:noHBand="0" w:noVBand="0" w:val="0000"/>
        <w:tblCaption w:val="Storm classification from Gonzales et al., in 1994 ."/>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w:t>
      </w:r>
      <w:r>
        <w:t xml:space="preserve"> </w:t>
      </w:r>
      <w:r>
        <w:t xml:space="preserve">.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 </w:t>
      </w:r>
      <w:r>
        <w:t xml:space="preserve">and</w:t>
      </w:r>
      <w:r>
        <w:t xml:space="preserve"> </w:t>
      </w:r>
      <w:r>
        <w:rPr>
          <w:i/>
          <w:iCs/>
        </w:rPr>
        <w:t xml:space="preserve">shapiro.test</w:t>
      </w:r>
      <w:r>
        <w:t xml:space="preserve"> </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w:t>
      </w:r>
      <w:r>
        <w:t xml:space="preserve"> </w:t>
      </w:r>
      <w:r>
        <w:t xml:space="preserve">.</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w:t>
      </w:r>
      <w:r>
        <w:t xml:space="preserve"> </w:t>
      </w:r>
      <w:r>
        <w:t xml:space="preserve"> </w:t>
      </w:r>
      <w:r>
        <w:t xml:space="preserve">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w:t>
      </w:r>
      <w:r>
        <w:t xml:space="preserve"> </w:t>
      </w:r>
      <w:r>
        <w:t xml:space="preserve"> </w:t>
      </w:r>
      <w:r>
        <w:t xml:space="preserve">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2024-10-27T11:34:01Z</dcterms:created>
  <dcterms:modified xsi:type="dcterms:W3CDTF">2024-10-27T11:34:01Z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