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[131] can induce various effects that degrade the accuracy, availability, and reliability of GNSS PNT.</w:t>
      </w:r>
    </w:p>
    <w:p>
      <w:pPr>
        <w:pStyle w:val="BodyText"/>
      </w:pPr>
      <w:r>
        <w:t xml:space="preserve">Disturbances caused by geomagnetic storms [132] can also affect the high-frequency GPS signals [133] passing through the ionosphere layer [134, 135], motivating work on error modeling of the ionosphere [136, 137]. Observed changes in the ionosphere layer include the density distribution in the ionosphere,</w:t>
      </w:r>
      <w:r>
        <w:t xml:space="preserve"> </w:t>
      </w:r>
      <m:oMath>
        <m:r>
          <m:t>T</m:t>
        </m:r>
        <m:r>
          <m:t>E</m:t>
        </m:r>
        <m:r>
          <m:t>C</m:t>
        </m:r>
      </m:oMath>
      <w:r>
        <w:t xml:space="preserve"> </w:t>
      </w:r>
      <w:r>
        <w:t xml:space="preserve">values, and the current balance in the ionosphere [138].</w:t>
      </w:r>
    </w:p>
    <w:p>
      <w:pPr>
        <w:pStyle w:val="BodyText"/>
      </w:pPr>
      <w:r>
        <w:t xml:space="preserve">Geomagnetic storms [139] cause signal deterioration by affecting Global Electric Current (GEC) variability [140, 141]. The ionosphere [142] may show changes [143] related to geographical and geomagnetic location, geomagnetic and solar activity, the appearance of sunspots, local time [144], seasonality, thunderstorms [145], nuclear experiments on Earth, earthquakes [146],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[147]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[148] coming from the solar corona and the domain of the Sun influence the interplanetary magnetic field [149].</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[150] appear when the Sun’s activity is highest. Sunspots are filled with magnetism and large magnetic field lines, and matter sputtering can occur [151]. Affected by solar winds [152],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[153].</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[154].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[155, 156]. An expansion of the F2 layer is also observed due to excess plasma production. Magnetic field indices are available in one-hour resolution from the web interface of the National Aeronautics and Space Administration (NASA) Goddard Space Physics Data Facility (SPDF) [157, 158].</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[159].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[160]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[161]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[162]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[157, 158]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[163].</w:t>
      </w:r>
    </w:p>
    <w:p>
      <w:pPr>
        <w:pStyle w:val="BodyText"/>
      </w:pPr>
      <w:r>
        <w:t xml:space="preserve">The NOAA SWPC [164]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[165, 166]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[167] and a scientific publication [168]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[165, 166].</w:t>
      </w:r>
    </w:p>
    <w:tbl>
      <w:tblPr>
        <w:tblStyle w:val="Table"/>
        <w:tblW w:type="auto" w:w="0"/>
        <w:tblLook w:firstRow="1" w:lastRow="0" w:firstColumn="0" w:lastColumn="0" w:noHBand="0" w:noVBand="0" w:val="0020"/>
        <w:tblCaption w:val="The K_{p}-index as related to geomagnetic storm descriptions and warnings using the NOAA G scale [165, 166]."/>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[169]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[160].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[169].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[160].</w:t>
      </w:r>
    </w:p>
    <w:tbl>
      <w:tblPr>
        <w:tblStyle w:val="Table"/>
        <w:tblW w:type="auto" w:w="0"/>
        <w:tblLook w:firstRow="1" w:lastRow="0" w:firstColumn="0" w:lastColumn="0" w:noHBand="0" w:noVBand="0" w:val="0020"/>
        <w:tblCaption w:val="The a-index values for each K-index, from [160]."/>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[169].</w:t>
      </w:r>
    </w:p>
    <w:tbl>
      <w:tblPr>
        <w:tblStyle w:val="Table"/>
        <w:tblW w:type="auto" w:w="0"/>
        <w:tblLook w:firstRow="1" w:lastRow="0" w:firstColumn="0" w:lastColumn="0" w:noHBand="0" w:noVBand="0" w:val="0020"/>
        <w:tblCaption w:val="The a_{p}-index values for each K_{p}-index, from [169]."/>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[170].</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[171] can increase signal delay which can cause positioning errors, especially critical for high-precision applications [172, 173].</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[174] on the radio ray path between the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[175, 5]. A cosine-like daily dynamic of GPS ionospheric delay values is assumed in the Klobuchar model, with the daily maximum appearing around 14:00 in local time [176].</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[177]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[178].</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[137].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[157, 158], and the Geomagnetism and Space Magnetism Data Analysis Center of the Institute of Science, Kyoto University in Japan.</w:t>
      </w:r>
    </w:p>
    <w:p>
      <w:pPr>
        <w:pStyle w:val="BodyText"/>
      </w:pPr>
      <w:r>
        <w:t xml:space="preserve">Loewe and Prölss, in 1997 [179] 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 [151] used three groups for the same data in 1994, as shown in Table </w:t>
      </w:r>
      <w:hyperlink w:anchor="tab:gonzalez1994">
        <w:r>
          <w:rPr>
            <w:rStyle w:val="Hyperlink"/>
          </w:rPr>
          <w:t xml:space="preserve">7</w:t>
        </w:r>
      </w:hyperlink>
      <w:r>
        <w:t xml:space="preserve">, similar to Kamide et al. in 1998 [180], Rozhnoi et al. in 2004 [181], and Contadakis et al. in 2012 [182].</w:t>
      </w:r>
    </w:p>
    <w:bookmarkStart w:id="40" w:name="tab:loewe1997"/>
    <w:p>
      <w:pPr>
        <w:pStyle w:val="TableCaption"/>
      </w:pPr>
      <w:r>
        <w:t xml:space="preserve">Storm classification from Loewe and Prölss, in 1997 [179].</w:t>
      </w:r>
    </w:p>
    <w:tbl>
      <w:tblPr>
        <w:tblStyle w:val="Table"/>
        <w:tblW w:type="auto" w:w="0"/>
        <w:tblLook w:firstRow="0" w:lastRow="0" w:firstColumn="0" w:lastColumn="0" w:noHBand="0" w:noVBand="0" w:val="0000"/>
        <w:tblCaption w:val="Storm classification from Loewe and Prölss, in 1997 [179]."/>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[151].</w:t>
      </w:r>
    </w:p>
    <w:tbl>
      <w:tblPr>
        <w:tblStyle w:val="Table"/>
        <w:tblW w:type="auto" w:w="0"/>
        <w:tblLook w:firstRow="0" w:lastRow="0" w:firstColumn="0" w:lastColumn="0" w:noHBand="0" w:noVBand="0" w:val="0000"/>
        <w:tblCaption w:val="Storm classification from Gonzales et al., in 1994 [151]."/>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[183], so this step was also applied to the input data before training the models in this study. There are many ways to standardize data, such as minimum-maximum, normalization by decimal scaling, and Z-score [184]. Subtracting the mean and dividing by the variance for each feature are commonly used for SVM models [185]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[186, 187, 188].</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[189, 190, 191, 192, 193].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[194, 195, 196, 197]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[198, 199]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[200].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[201]. Galton was the first to use a statistic similar to Cohen’s kappa in 1892 [202, 203]. Jacob Cohen formally described the kappa coefficient in 1960 in the journal "Educational and Psychological Measurement" [204].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[205]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[206]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[207, 208].</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[209]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2024-10-17T17:08:51Z</dcterms:created>
  <dcterms:modified xsi:type="dcterms:W3CDTF">2024-10-17T17:08:51Z</dcterms:modified>
</cp:coreProperties>
</file>

<file path=docProps/custom.xml><?xml version="1.0" encoding="utf-8"?>
<Properties xmlns="http://schemas.openxmlformats.org/officeDocument/2006/custom-properties" xmlns:vt="http://schemas.openxmlformats.org/officeDocument/2006/docPropsVTypes"/>
</file>