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[1]. Maintaining the GNSS PNT quality is crucial for the sustainable development of modern economy and society [2]. Overcoming the shortcomings and vulnerabilities of GNSS PNT is a scientific challenge, and the need of a wide variety of scientists, developers, operators, regulators, and users of GNSS-based systems and services [3, 4].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[5, 6]. This phenomenon especially affects most currently used GNSS receivers, which work as single-frequency receivers exposed to GNSS ionospheric effects [1, 7]. Driven by powerful and random flows of energy and particles from the Sun (space weather conditions), the ionospheric conditions define the properties of GNSS signal propagation through the Earth’s atmosphere and the resulting ionospheric delay [5, 8, 7]. The GNSS ionospheric delay causes errors in GNSS PNT algorithm deployment, designed to produce position, velocity, and time estimates for a GNSS receiver [1, 2]. The ionosphere affects GNSS satellite signals for position estimation by introducing signal propagation delay [1, 2]. The GNSS ionospheric delay is a stochastic variable, whose value is determined by complex physical processes of space weather [1, 2].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[2, 7].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[1, 2, 5],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[9].</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[1].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[1, 2].</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[1].</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[1, 10]. The standard ionospheric correction models are global, and insufficiently flexible to update to mitigate GNSS ionospheric delay to satisfy rising demands on GNSS PNT performance [1, 11].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[12].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[13, 14].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[15]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[9]. The INTERMAGNET [15]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[16, 17, 18].</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[19]. Intuitively, a good separation is achieved by the hyperplane with the greatest distance to the nearest point in the training data belonging to any class [20]. Meyer, Leisch, and Hornik compared SVM models with other classifiers [21].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[22].</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[23]. A tree is recursively partitioned by dividing the original set, or root node, into subsets that form descendants, or successors, using classification rules based on features [24].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[25] classifiers are a family of linear "probabilistic classifiers" that assume that, given a target class, the features are conditionally independent. Maximum likelihood training for Naive Bayes (NB) models evaluates a closed-form expression [26] in linear time instead of using iterative approximation. However, a comprehensive comparison in 2006 showed that Naive Bayes (NB) models performed worse than boosted trees or Random Forest (RF) models [27]. An advantage of NB over other models is a smaller amount of required training data [28].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[29],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[30]. Shallow NN models typically contain only a few hidden layers for processing between the input layer that receives the data and the final layer that produces the output [31]. A network with at least two hidden layers [32] is a deep NN model. Gradient-based methods such as backpropagation estimate ANN parameters [33] to minimize the difference or empirical risk between the output and target labels, expressed in a loss function [34]. The hyperparameters may also be modified to suit the problem [35] during an extensive tuning process, like the one used in this study. Principal Component Analysis (PCA) [36] is a linear dimensionality reduction technique in exploratory data analysis, visualization [37],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[16, 17, 18].</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[38],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[39].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[40].</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[41] based on a mixture of non-parametric linear regression models, such as Multivariate Adaptive Regression Splines (MARS) and Linear Discriminant Analysis (LDA). Many predictors can be used in conjunction in FDA [42]. FDA is complex but execution time and computational load are adequate [43]. Feature normality and equal group covariances are assumed [44]. LDA, Normal Discriminant Analysis (NDA), or discriminant function analysis [45] is a generalization of Fisher’s linear discriminant defined in 1936 [41].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[46]. Geomagnetic storms cause signal deterioration by affecting Global Electric Current (GEC) variability. The ionosphere may show changes related to location, geomagnetic and solar activity, sunspots, local time, seasonality, thunderstorms [47], nuclear experiments, earthquakes [48],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[49].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[50],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[51].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[52] and a scientific publication [53]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[46].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[54]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[55] used</w:t>
      </w:r>
      <w:r>
        <w:t xml:space="preserve"> </w:t>
      </w:r>
      <m:oMath>
        <m:r>
          <m:t>3</m:t>
        </m:r>
      </m:oMath>
      <w:r>
        <w:t xml:space="preserve"> </w:t>
      </w:r>
      <w:r>
        <w:t xml:space="preserve">groups for the same data in 1994, similar to Kamide et al. in 1998 [56], Rozhnoi et al. in 2004 [57], and Contadakis et al. in 2012 [58].</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[16, 17].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[54].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[59]. There are many ways to standardize data, such as minimum-maximum, normalization by decimal scaling, and Z-score [60]. Subtracting the mean and dividing by the variance for each feature are commonly used for SVM models [61]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[16, 17]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[62], and Chow et al. [63].</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[64]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[65]. The expression used for the NB method is a linear time algorithm if time complexity is expressed as a function of the size of the input and observing asymptotic behavior, explaining the reduced execution time [26]. Despite their simplicity, NB classifier models have performed well in real-world situations [66], even with a relative lack of data compared to other approaches [28, 67].</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bookmarkEnd w:id="70"/>
    <w:bookmarkEnd w:id="71"/>
    <w:bookmarkStart w:id="72" w:name="bibliography"/>
    <w:p>
      <w:pPr>
        <w:pStyle w:val="Heading1"/>
      </w:pPr>
      <w:r>
        <w:t xml:space="preserve">Bibliography</w:t>
      </w:r>
    </w:p>
    <w:p>
      <w:pPr>
        <w:pStyle w:val="FirstParagraph"/>
      </w:pPr>
      <w:r>
        <w:t xml:space="preserve">[1] J. J. Spilker Jr, P. Axelrad, B. W. Parkinson, and P. Enge, Global positioning system: theory and applications, volume I. Reston, Virginia: American Institute of Aeronautics, 1996.</w:t>
      </w:r>
    </w:p>
    <w:p>
      <w:pPr>
        <w:pStyle w:val="BodyText"/>
      </w:pPr>
      <w:r>
        <w:t xml:space="preserve">[2] S. Schaer, Mapping and predicting the Earth’s ionosphere using the Global Positioning System, vol. 59. Zürich: Institut für Geodäsie und Photogrammetrie, Eidg. Technische Hochschule, 1999.</w:t>
      </w:r>
    </w:p>
    <w:p>
      <w:pPr>
        <w:pStyle w:val="BodyText"/>
      </w:pPr>
      <w:r>
        <w:t xml:space="preserve">[3] M. Durmaz and M. O. Karslioglu,</w:t>
      </w:r>
      <w:r>
        <w:t xml:space="preserve"> </w:t>
      </w:r>
      <w:r>
        <w:t xml:space="preserve">“Regional vertical total electron content (VTEC) modeling together with satellite and receiver differential code biases (DCBs) using semi-parametric multivariate adaptive regression B-splines (SP-BMARS),”</w:t>
      </w:r>
      <w:r>
        <w:t xml:space="preserve"> </w:t>
      </w:r>
      <w:r>
        <w:t xml:space="preserve">Journal of Geodesy, vol. 89, pp. 347–360, 2015, doi: 10.1007/s00190-014-0779-8.</w:t>
      </w:r>
    </w:p>
    <w:p>
      <w:pPr>
        <w:pStyle w:val="BodyText"/>
      </w:pPr>
      <w:r>
        <w:t xml:space="preserve">[4] R. Jin, S. Jin, and G. Feng,</w:t>
      </w:r>
      <w:r>
        <w:t xml:space="preserve"> </w:t>
      </w:r>
      <w:r>
        <w:t xml:space="preserve">“M_DCB: Matlab code for estimating GNSS satellite and receiver differential code biases,”</w:t>
      </w:r>
      <w:r>
        <w:t xml:space="preserve"> </w:t>
      </w:r>
      <w:r>
        <w:t xml:space="preserve">GPS solutions, vol. 16, no. 4, pp. 541–548, 2012, doi: 10.1007/s10291-012-0279-3.</w:t>
      </w:r>
    </w:p>
    <w:p>
      <w:pPr>
        <w:pStyle w:val="BodyText"/>
      </w:pPr>
      <w:r>
        <w:t xml:space="preserve">[5] K. Davies, Ionospheric Radio. Futures Place, Stevenage: Institution of Engineering &amp; Technology, 1990. [Online] . Available: https://books.google.hr/books?id=qdWUKSj5PCcC</w:t>
      </w:r>
    </w:p>
    <w:p>
      <w:pPr>
        <w:pStyle w:val="BodyText"/>
      </w:pPr>
      <w:r>
        <w:t xml:space="preserve">[6] J. Y. Liu et al.,</w:t>
      </w:r>
      <w:r>
        <w:t xml:space="preserve"> </w:t>
      </w:r>
      <w:r>
        <w:t xml:space="preserve">“Seismoionospheric GPS total electron content anomalies observed before the 12 May 2008 Mw7. 9 Wenchuan earthquake,”</w:t>
      </w:r>
      <w:r>
        <w:t xml:space="preserve"> </w:t>
      </w:r>
      <w:r>
        <w:t xml:space="preserve">Journal of Geophysical Research: Space Physics, vol. 114, no. A4, 2009, doi: 10.1029/2008JA013698.</w:t>
      </w:r>
    </w:p>
    <w:p>
      <w:pPr>
        <w:pStyle w:val="BodyText"/>
      </w:pPr>
      <w:r>
        <w:t xml:space="preserve">[7] G. Prölss, Physics of the Earth’s space environment: an introduction. Berlin/Heidelberg, Germany: Springer Science &amp; Business Media, 2012.</w:t>
      </w:r>
    </w:p>
    <w:p>
      <w:pPr>
        <w:pStyle w:val="BodyText"/>
      </w:pPr>
      <w:r>
        <w:t xml:space="preserve">[8] A. Oxley, Uncertainties in GPS Positioning: A mathematical discourse. Cambridge, Massachusetts: Academic Press, 2017.</w:t>
      </w:r>
    </w:p>
    <w:p>
      <w:pPr>
        <w:pStyle w:val="BodyText"/>
      </w:pPr>
      <w:r>
        <w:t xml:space="preserve">[9] G. K. Seemala,</w:t>
      </w:r>
      <w:r>
        <w:t xml:space="preserve"> </w:t>
      </w:r>
      <w:r>
        <w:t xml:space="preserve">“Chapter 4 - Estimation of ionospheric total electron content (TEC) from GNSS observations,”</w:t>
      </w:r>
      <w:r>
        <w:t xml:space="preserve"> </w:t>
      </w:r>
      <w:r>
        <w:t xml:space="preserve">in Atmospheric Remote Sensing, A. K. Singh and S. Tiwari, Eds. Amsterdam, Netherlands: Elsevier, 2023, pp. 63–84. doi: 10.1016/B978-0-323-99262-6.00022-5.</w:t>
      </w:r>
    </w:p>
    <w:p>
      <w:pPr>
        <w:pStyle w:val="BodyText"/>
      </w:pPr>
      <w:r>
        <w:t xml:space="preserve">[10] J. A. Klobuchar,</w:t>
      </w:r>
      <w:r>
        <w:t xml:space="preserve"> </w:t>
      </w:r>
      <w:r>
        <w:t xml:space="preserve">“Ionospheric time-delay algorithm for single-frequency GPS users,”</w:t>
      </w:r>
      <w:r>
        <w:t xml:space="preserve"> </w:t>
      </w:r>
      <w:r>
        <w:t xml:space="preserve">IEEE Transactions on aerospace and electronic systems, pp. 325–331, 1987, doi: 10.1109/TAES.1987.310829.</w:t>
      </w:r>
    </w:p>
    <w:p>
      <w:pPr>
        <w:pStyle w:val="BodyText"/>
      </w:pPr>
      <w:r>
        <w:t xml:space="preserve">[11] P. K. Enge,</w:t>
      </w:r>
      <w:r>
        <w:t xml:space="preserve"> </w:t>
      </w:r>
      <w:r>
        <w:t xml:space="preserve">“The global positioning system: Signals, measurements, and performance,”</w:t>
      </w:r>
      <w:r>
        <w:t xml:space="preserve"> </w:t>
      </w:r>
      <w:r>
        <w:t xml:space="preserve">International Journal of Wireless Information Networks, vol. 1, pp. 83–105, 1994, doi: 10.1007/BF02106512.</w:t>
      </w:r>
    </w:p>
    <w:p>
      <w:pPr>
        <w:pStyle w:val="BodyText"/>
      </w:pPr>
      <w:r>
        <w:t xml:space="preserve">[12]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 doi: 10.3390/rs16163051.</w:t>
      </w:r>
    </w:p>
    <w:p>
      <w:pPr>
        <w:pStyle w:val="BodyText"/>
      </w:pPr>
      <w:r>
        <w:t xml:space="preserve">[13]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 doi: 10.3390/rs14153547.</w:t>
      </w:r>
    </w:p>
    <w:p>
      <w:pPr>
        <w:pStyle w:val="BodyText"/>
      </w:pPr>
      <w:r>
        <w:t xml:space="preserve">[14] R. Natras et al.,</w:t>
      </w:r>
      <w:r>
        <w:t xml:space="preserve"> </w:t>
      </w:r>
      <w:r>
        <w:t xml:space="preserve">“Regional ionosphere delay models based on CORS data and machine learning,”</w:t>
      </w:r>
      <w:r>
        <w:t xml:space="preserve"> </w:t>
      </w:r>
      <w:r>
        <w:t xml:space="preserve">NAVIGATION: Journal of the Institute of Navigation, vol. 70, no. 3, 2023, doi: 10.33012/navi.577.</w:t>
      </w:r>
    </w:p>
    <w:p>
      <w:pPr>
        <w:pStyle w:val="BodyText"/>
      </w:pPr>
      <w:r>
        <w:t xml:space="preserve">[15] INTERMAGNET and others,</w:t>
      </w:r>
      <w:r>
        <w:t xml:space="preserve"> </w:t>
      </w:r>
      <w:r>
        <w:t xml:space="preserve">“Intermagnet reference data set (IRDS) 2019 – definitive magnetic observatory data,”</w:t>
      </w:r>
      <w:r>
        <w:t xml:space="preserve"> </w:t>
      </w:r>
      <w:r>
        <w:t xml:space="preserve">GFZ Data Services, 2022, doi: 10.5880/INTERMAGNET.1991.2019.</w:t>
      </w:r>
    </w:p>
    <w:p>
      <w:pPr>
        <w:pStyle w:val="BodyText"/>
      </w:pPr>
      <w:r>
        <w:t xml:space="preserve">[16] M. Kuhn,</w:t>
      </w:r>
      <w:r>
        <w:t xml:space="preserve"> </w:t>
      </w:r>
      <w:r>
        <w:t xml:space="preserve">“caret: Classification and Regression Training,”</w:t>
      </w:r>
      <w:r>
        <w:t xml:space="preserve"> </w:t>
      </w:r>
      <w:r>
        <w:t xml:space="preserve">CRAN: Contributed Packages, Oct. 2007, doi: 10.32614/cran.package.caret.</w:t>
      </w:r>
    </w:p>
    <w:p>
      <w:pPr>
        <w:pStyle w:val="BodyText"/>
      </w:pPr>
      <w:r>
        <w:t xml:space="preserve">[17] M. Kuhn,</w:t>
      </w:r>
      <w:r>
        <w:t xml:space="preserve"> </w:t>
      </w:r>
      <w:r>
        <w:t xml:space="preserve">“Building predictive models in R using the caret package,”</w:t>
      </w:r>
      <w:r>
        <w:t xml:space="preserve"> </w:t>
      </w:r>
      <w:r>
        <w:t xml:space="preserve">Journal of statistical software, vol. 28, pp. 1–26, 2008, doi: 10.18637/jss.v028.i05.</w:t>
      </w:r>
    </w:p>
    <w:p>
      <w:pPr>
        <w:pStyle w:val="BodyText"/>
      </w:pPr>
      <w:r>
        <w:t xml:space="preserve">[18] M. Kuhn, Applied predictive modeling. Berlin/Heidelberg, Germany: Springer, 2013.</w:t>
      </w:r>
    </w:p>
    <w:p>
      <w:pPr>
        <w:pStyle w:val="BodyText"/>
      </w:pPr>
      <w:r>
        <w:t xml:space="preserve">[19] B. E. Boser, I. M. Guyon, and V. N. Vapnik,</w:t>
      </w:r>
      <w:r>
        <w:t xml:space="preserve"> </w:t>
      </w:r>
      <w:r>
        <w:t xml:space="preserve">“A training algorithm for optimal margin classifiers,”</w:t>
      </w:r>
      <w:r>
        <w:t xml:space="preserve"> </w:t>
      </w:r>
      <w:r>
        <w:t xml:space="preserve">in Proceedings of the fifth annual workshop on Computational learning theory, Jul. 1992, pp. 144–152. doi: 10.1145/130385.130401.</w:t>
      </w:r>
    </w:p>
    <w:p>
      <w:pPr>
        <w:pStyle w:val="BodyText"/>
      </w:pPr>
      <w:r>
        <w:t xml:space="preserve">[20] T. Hastie, S. Rosset, J. Zhu, and H. Zou,</w:t>
      </w:r>
      <w:r>
        <w:t xml:space="preserve"> </w:t>
      </w:r>
      <w:r>
        <w:t xml:space="preserve">“Multi-class AdaBoost,”</w:t>
      </w:r>
      <w:r>
        <w:t xml:space="preserve"> </w:t>
      </w:r>
      <w:r>
        <w:t xml:space="preserve">Stat. Interface, vol. 2, no. 3, pp. 349–360, 2009, doi: 10.4310/SII.2009.v2.n3.a8.</w:t>
      </w:r>
    </w:p>
    <w:p>
      <w:pPr>
        <w:pStyle w:val="BodyText"/>
      </w:pPr>
      <w:r>
        <w:t xml:space="preserve">[21] D. Meyer, F. Leisch, and K. Hornik,</w:t>
      </w:r>
      <w:r>
        <w:t xml:space="preserve"> </w:t>
      </w:r>
      <w:r>
        <w:t xml:space="preserve">“The support vector machine under test,”</w:t>
      </w:r>
      <w:r>
        <w:t xml:space="preserve"> </w:t>
      </w:r>
      <w:r>
        <w:t xml:space="preserve">Neurocomputing, vol. 55, no. 1–2, pp. 169–186, Sep. 2003, doi: 10.1016/S0925-2312(03)00431-4.</w:t>
      </w:r>
    </w:p>
    <w:p>
      <w:pPr>
        <w:pStyle w:val="BodyText"/>
      </w:pPr>
      <w:r>
        <w:t xml:space="preserve">[22] W. H. Press, S. A. Teukolsky, W. T. Vetterling, and B. P. Flannery, Numerical recipes 3rd edition, Third. Cambridge, England: Cambridge University Press, 2007.</w:t>
      </w:r>
    </w:p>
    <w:p>
      <w:pPr>
        <w:pStyle w:val="BodyText"/>
      </w:pPr>
      <w:r>
        <w:t xml:space="preserve">[23] X. Wu et al.,</w:t>
      </w:r>
      <w:r>
        <w:t xml:space="preserve"> </w:t>
      </w:r>
      <w:r>
        <w:t xml:space="preserve">“Top 10 algorithms in data mining,”</w:t>
      </w:r>
      <w:r>
        <w:t xml:space="preserve"> </w:t>
      </w:r>
      <w:r>
        <w:t xml:space="preserve">Knowl. Inf. Syst., vol. 14, no. 1, pp. 1–37, Jan. 2008, doi: 10.1007/s10115-007-0114-2.</w:t>
      </w:r>
    </w:p>
    <w:p>
      <w:pPr>
        <w:pStyle w:val="BodyText"/>
      </w:pPr>
      <w:r>
        <w:t xml:space="preserve">[24]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[25] D. J. Hand and K. Yu,</w:t>
      </w:r>
      <w:r>
        <w:t xml:space="preserve"> </w:t>
      </w:r>
      <w:r>
        <w:t xml:space="preserve">“Idiot’s Bayes: Not So Stupid after All?,”</w:t>
      </w:r>
      <w:r>
        <w:t xml:space="preserve"> </w:t>
      </w:r>
      <w:r>
        <w:t xml:space="preserve">Int. Stat. Rev., vol. 69, no. 3, p. 385, Dec. 2001, doi: 10.1111/j.1751-5823.2001.tb00465.x.</w:t>
      </w:r>
    </w:p>
    <w:p>
      <w:pPr>
        <w:pStyle w:val="BodyText"/>
      </w:pPr>
      <w:r>
        <w:t xml:space="preserve">[26] S. J. Russell and P. Norvig, Artificial intelligence: a modern approach. London, England: Pearson, 2016.</w:t>
      </w:r>
    </w:p>
    <w:p>
      <w:pPr>
        <w:pStyle w:val="BodyText"/>
      </w:pPr>
      <w:r>
        <w:t xml:space="preserve">[27]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[28] G. H. John and P. Langley,</w:t>
      </w:r>
      <w:r>
        <w:t xml:space="preserve"> </w:t>
      </w:r>
      <w:r>
        <w:t xml:space="preserve">“Estimating Continuous Distributions in Bayesian Classifiers,”</w:t>
      </w:r>
      <w:r>
        <w:t xml:space="preserve"> </w:t>
      </w:r>
      <w:r>
        <w:t xml:space="preserve">arXiv preprint arXiv:1302.4964, 2013, doi: 10.48550/arXiv.1302.4964.</w:t>
      </w:r>
    </w:p>
    <w:p>
      <w:pPr>
        <w:pStyle w:val="BodyText"/>
      </w:pPr>
      <w:r>
        <w:t xml:space="preserve">[29] M. N. Murty and V. S. Devi, Pattern recognition: An algorithmic approach. Berlin/Heidelberg, Germany: Springer Science &amp; Business Media, 2011.</w:t>
      </w:r>
    </w:p>
    <w:p>
      <w:pPr>
        <w:pStyle w:val="BodyText"/>
      </w:pPr>
      <w:r>
        <w:t xml:space="preserve">[30] A. Brahme, Comprehensive biomedical physics. 8-11 Southampton Street, London: Newnes, 2014.</w:t>
      </w:r>
    </w:p>
    <w:p>
      <w:pPr>
        <w:pStyle w:val="BodyText"/>
      </w:pPr>
      <w:r>
        <w:t xml:space="preserve">[31]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 doi: 10.1016/S0304-3800(02)00064-9.</w:t>
      </w:r>
    </w:p>
    <w:p>
      <w:pPr>
        <w:pStyle w:val="BodyText"/>
      </w:pPr>
      <w:r>
        <w:t xml:space="preserve">[32] C. Bishop, Pattern Recognition and Machine Learning. Berlin/Heidelberg, Germany: Springer, 2006.</w:t>
      </w:r>
    </w:p>
    <w:p>
      <w:pPr>
        <w:pStyle w:val="BodyText"/>
      </w:pPr>
      <w:r>
        <w:t xml:space="preserve">[33] V. Vapnik, The nature of statistical learning theory. Berlin/Heidelberg, Germany: Springer science &amp; business media, 2013.</w:t>
      </w:r>
    </w:p>
    <w:p>
      <w:pPr>
        <w:pStyle w:val="BodyText"/>
      </w:pPr>
      <w:r>
        <w:t xml:space="preserve">[34] I. Goodfellow, Y. Bengio, and A. Courville, Deep Learning. Cambridge, Massachusetts: MIT Press, 2016.</w:t>
      </w:r>
    </w:p>
    <w:p>
      <w:pPr>
        <w:pStyle w:val="BodyText"/>
      </w:pPr>
      <w:r>
        <w:t xml:space="preserve">[35]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 doi: 10.48550/arXiv.1802.09596.</w:t>
      </w:r>
    </w:p>
    <w:p>
      <w:pPr>
        <w:pStyle w:val="BodyText"/>
      </w:pPr>
      <w:r>
        <w:t xml:space="preserve">[36] F. M. Stewart, Introduction to linear algebra. Mineola, New York, United States of America: Courier Dover Publications, 2019.</w:t>
      </w:r>
    </w:p>
    <w:p>
      <w:pPr>
        <w:pStyle w:val="BodyText"/>
      </w:pPr>
      <w:r>
        <w:t xml:space="preserve">[37]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 doi: 10.1098/rsta.2015.0202.</w:t>
      </w:r>
    </w:p>
    <w:p>
      <w:pPr>
        <w:pStyle w:val="BodyText"/>
      </w:pPr>
      <w:r>
        <w:t xml:space="preserve">[38]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 doi: 10.1002/wics.51.</w:t>
      </w:r>
    </w:p>
    <w:p>
      <w:pPr>
        <w:pStyle w:val="BodyText"/>
      </w:pPr>
      <w:r>
        <w:t xml:space="preserve">[39]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 doi: 10.1016/j.chemolab.2007.10.006.</w:t>
      </w:r>
    </w:p>
    <w:p>
      <w:pPr>
        <w:pStyle w:val="BodyText"/>
      </w:pPr>
      <w:r>
        <w:t xml:space="preserve">[40] V. González, R. Giraldo, and V. Leiva,</w:t>
      </w:r>
      <w:r>
        <w:t xml:space="preserve"> </w:t>
      </w:r>
      <w:r>
        <w:t xml:space="preserve">“PLS1-MD: A partial least squares regression algorithm for solving missing data problems,”</w:t>
      </w:r>
      <w:r>
        <w:t xml:space="preserve"> </w:t>
      </w:r>
      <w:r>
        <w:t xml:space="preserve">Chemometrics and Intelligent Laboratory Systems, vol. 240, p. 104876, 2023, doi: 10.1016/j.chemolab.2023.104876.</w:t>
      </w:r>
    </w:p>
    <w:p>
      <w:pPr>
        <w:pStyle w:val="BodyText"/>
      </w:pPr>
      <w:r>
        <w:t xml:space="preserve">[41] G. J. McLachlan, Discriminant analysis and statistical pattern recognition. Hoboken, New Jersey, United States of America: John Wiley &amp; Sons, 2005. doi: 10.1002/0471725293.</w:t>
      </w:r>
    </w:p>
    <w:p>
      <w:pPr>
        <w:pStyle w:val="BodyText"/>
      </w:pPr>
      <w:r>
        <w:t xml:space="preserve">[42] T. Hastie, R. Tibshirani, J. H. Friedman, and J. H. Friedman, The elements of statistical learning: data mining, inference, and prediction, vol. 2. Berlin/Heidelberg, Germany: Springer, 2009.</w:t>
      </w:r>
    </w:p>
    <w:p>
      <w:pPr>
        <w:pStyle w:val="BodyText"/>
      </w:pPr>
      <w:r>
        <w:t xml:space="preserve">[43]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 doi: 10.1016/j.csda.2005.11.018.</w:t>
      </w:r>
    </w:p>
    <w:p>
      <w:pPr>
        <w:pStyle w:val="BodyText"/>
      </w:pPr>
      <w:r>
        <w:t xml:space="preserve">[44] D. Wetcher-Hendricks, Analyzing quantitative data: An introduction for social researchers. Hoboken, New Jersey, United States of America: John Wiley &amp; Sons, 2011.</w:t>
      </w:r>
    </w:p>
    <w:p>
      <w:pPr>
        <w:pStyle w:val="BodyText"/>
      </w:pPr>
      <w:r>
        <w:t xml:space="preserve">[45] J. Cohen, P. Cohen, S. G. West, and L. S. Aiken, Applied multiple regression/correlation analysis for the behavioral sciences. Milton Park, Abingdon-on-Thames, Oxfordshire, England, United Kingdom: Routledge, 2013.</w:t>
      </w:r>
    </w:p>
    <w:p>
      <w:pPr>
        <w:pStyle w:val="BodyText"/>
      </w:pPr>
      <w:r>
        <w:t xml:space="preserve">[46] B. Zolesi and Lj. R. Cander, Ionospheric prediction and forecasting. Berlin/Heidelberg, Germany: Springer, 2014.</w:t>
      </w:r>
    </w:p>
    <w:p>
      <w:pPr>
        <w:pStyle w:val="BodyText"/>
      </w:pPr>
      <w:r>
        <w:t xml:space="preserve">[47] P. I. Vellinov, C. W. Spassov, and S. I. Kolev,</w:t>
      </w:r>
      <w:r>
        <w:t xml:space="preserve"> </w:t>
      </w:r>
      <w:r>
        <w:t xml:space="preserve">“Ionospheric effects of lightning during the increasing part of solar cycle 22,”</w:t>
      </w:r>
      <w:r>
        <w:t xml:space="preserve"> </w:t>
      </w:r>
      <w:r>
        <w:t xml:space="preserve">Journal of atmospheric and terrestrial physics, vol. 54, no. 10, pp. 1347–1353, 1992, doi: 10.1016/0021-9169(92)90044-L.</w:t>
      </w:r>
    </w:p>
    <w:p>
      <w:pPr>
        <w:pStyle w:val="BodyText"/>
      </w:pPr>
      <w:r>
        <w:t xml:space="preserve">[48] M. Liu, G. Luo, and H. Wang,</w:t>
      </w:r>
      <w:r>
        <w:t xml:space="preserve"> </w:t>
      </w:r>
      <w:r>
        <w:t xml:space="preserve">“The 2013 Lushan earthquake in China tests hazard assessments,”</w:t>
      </w:r>
      <w:r>
        <w:t xml:space="preserve"> </w:t>
      </w:r>
      <w:r>
        <w:t xml:space="preserve">Seismological Research Letters, vol. 85, no. 1, pp. 40–43, 2014, doi: 10.1785/0220130117.</w:t>
      </w:r>
    </w:p>
    <w:p>
      <w:pPr>
        <w:pStyle w:val="BodyText"/>
      </w:pPr>
      <w:r>
        <w:t xml:space="preserve">[49] R. Schwenn,</w:t>
      </w:r>
      <w:r>
        <w:t xml:space="preserve"> </w:t>
      </w:r>
      <w:r>
        <w:t xml:space="preserve">“Solar wind: Global properties,”</w:t>
      </w:r>
      <w:r>
        <w:t xml:space="preserve"> </w:t>
      </w:r>
      <w:r>
        <w:t xml:space="preserve">in Encyclopedia of Astronomy &amp; Astrophysics, Boca Raton, Florida, United States of America: CRC Press, 2001, pp. 1–9. doi: 10.1888/0333750888/2301.</w:t>
      </w:r>
    </w:p>
    <w:p>
      <w:pPr>
        <w:pStyle w:val="BodyText"/>
      </w:pPr>
      <w:r>
        <w:t xml:space="preserve">[50] H. Bojinov, Y. Michalevsky, G. Nakibly, and D. Boneh,</w:t>
      </w:r>
      <w:r>
        <w:t xml:space="preserve"> </w:t>
      </w:r>
      <w:r>
        <w:t xml:space="preserve">“Mobile Device Identification via Sensor Fingerprinting,”</w:t>
      </w:r>
      <w:r>
        <w:t xml:space="preserve"> </w:t>
      </w:r>
      <w:r>
        <w:t xml:space="preserve">arXiv preprint arXiv:1408.1416, 2014, doi: 10.48550/arxiv.1408.1416.</w:t>
      </w:r>
    </w:p>
    <w:p>
      <w:pPr>
        <w:pStyle w:val="BodyText"/>
      </w:pPr>
      <w:r>
        <w:t xml:space="preserve">[51] L. M. M. Myint, K. Hozumi, S. Saito, and P. Supnithi,</w:t>
      </w:r>
      <w:r>
        <w:t xml:space="preserve"> </w:t>
      </w:r>
      <w:r>
        <w:t xml:space="preserve">“Analysis of local geomagnetic index under the influence of equatorial electrojet (EEJ) at the equatorial Phuket geomagnetic station in Thailand,”</w:t>
      </w:r>
      <w:r>
        <w:t xml:space="preserve"> </w:t>
      </w:r>
      <w:r>
        <w:t xml:space="preserve">Advances in Space Research, vol. 70, no. 5, pp. 1429–1440, 2022, doi: 10.1016/j.asr.2022.06.024.</w:t>
      </w:r>
    </w:p>
    <w:p>
      <w:pPr>
        <w:pStyle w:val="BodyText"/>
      </w:pPr>
      <w:r>
        <w:t xml:space="preserve">[52] J. Matzka, O. Bronkalla, K. Tornow, K. Elger, and C. Stolle,</w:t>
      </w:r>
      <w:r>
        <w:t xml:space="preserve"> </w:t>
      </w:r>
      <w:r>
        <w:t xml:space="preserve">“Geomagnetic Kp index,”</w:t>
      </w:r>
      <w:r>
        <w:t xml:space="preserve"> </w:t>
      </w:r>
      <w:r>
        <w:t xml:space="preserve">GFZ Data Services, 2021, doi: 10.5880/Kp.0001.</w:t>
      </w:r>
    </w:p>
    <w:p>
      <w:pPr>
        <w:pStyle w:val="BodyText"/>
      </w:pPr>
      <w:r>
        <w:t xml:space="preserve">[53] J. Matzka, C. Stolle, Y. Yamazaki, O. Bronkalla, and A. Morschhauser,</w:t>
      </w:r>
      <w:r>
        <w:t xml:space="preserve"> </w:t>
      </w:r>
      <w:r>
        <w:t xml:space="preserve">“The geomagnetic KP index and derived indices of geomagnetic activity,”</w:t>
      </w:r>
      <w:r>
        <w:t xml:space="preserve"> </w:t>
      </w:r>
      <w:r>
        <w:t xml:space="preserve">Space Weather, vol. 19, no. 5, May 2021, doi: 10.1029/2020SW002641.</w:t>
      </w:r>
    </w:p>
    <w:p>
      <w:pPr>
        <w:pStyle w:val="BodyText"/>
      </w:pPr>
      <w:r>
        <w:t xml:space="preserve">[54] C. A. Loewe and G. W. Prölss,</w:t>
      </w:r>
      <w:r>
        <w:t xml:space="preserve"> </w:t>
      </w:r>
      <w:r>
        <w:t xml:space="preserve">“Classification and mean behavior of magnetic storms,”</w:t>
      </w:r>
      <w:r>
        <w:t xml:space="preserve"> </w:t>
      </w:r>
      <w:r>
        <w:t xml:space="preserve">Journal of Geophysical Research: Space Physics, vol. 102, no. A7, pp. 14209–14213, 1997, doi: 10.1029/96JA04020.</w:t>
      </w:r>
    </w:p>
    <w:p>
      <w:pPr>
        <w:pStyle w:val="BodyText"/>
      </w:pPr>
      <w:r>
        <w:t xml:space="preserve">[55] W. D. Gonzalez et al.,</w:t>
      </w:r>
      <w:r>
        <w:t xml:space="preserve"> </w:t>
      </w:r>
      <w:r>
        <w:t xml:space="preserve">“What is a geomagnetic storm?,”</w:t>
      </w:r>
      <w:r>
        <w:t xml:space="preserve"> </w:t>
      </w:r>
      <w:r>
        <w:t xml:space="preserve">Journal of Geophysical Research: Space Physics, vol. 99, no. A4, pp. 5771–5792, 1994, doi: 10.1029/93JA02867.</w:t>
      </w:r>
    </w:p>
    <w:p>
      <w:pPr>
        <w:pStyle w:val="BodyText"/>
      </w:pPr>
      <w:r>
        <w:t xml:space="preserve">[56] Y. Kamide et al.,</w:t>
      </w:r>
      <w:r>
        <w:t xml:space="preserve"> </w:t>
      </w:r>
      <w:r>
        <w:t xml:space="preserve">“Two-step development of geomagnetic storms,”</w:t>
      </w:r>
      <w:r>
        <w:t xml:space="preserve"> </w:t>
      </w:r>
      <w:r>
        <w:t xml:space="preserve">Journal of Geophysical Research: Space Physics, vol. 103, no. A4, pp. 6917–6921, 1998, doi: 10.1029/97JA03337.</w:t>
      </w:r>
    </w:p>
    <w:p>
      <w:pPr>
        <w:pStyle w:val="BodyText"/>
      </w:pPr>
      <w:r>
        <w:t xml:space="preserve">[57] A. Rozhnoi, M. S. Solovieva, O. A. Molchanov, and M. Hayakawa,</w:t>
      </w:r>
      <w:r>
        <w:t xml:space="preserve"> </w:t>
      </w:r>
      <w:r>
        <w:t xml:space="preserve">“Middle latitude LF (40 kHz) phase variations associated with earthquakes for quiet and disturbed geomagnetic conditions,”</w:t>
      </w:r>
      <w:r>
        <w:t xml:space="preserve"> </w:t>
      </w:r>
      <w:r>
        <w:t xml:space="preserve">Physics and Chemistry of the Earth, Parts A/B/C, vol. 29, no. 4–9, pp. 589–598, 2004, doi: 10.1016/j.pce.2003.08.061.</w:t>
      </w:r>
    </w:p>
    <w:p>
      <w:pPr>
        <w:pStyle w:val="BodyText"/>
      </w:pPr>
      <w:r>
        <w:t xml:space="preserve">[58] M. E. Contadakis, D. N. Arabelos, C. Pikridas, and S. D. Spatalas,</w:t>
      </w:r>
      <w:r>
        <w:t xml:space="preserve"> </w:t>
      </w:r>
      <w:r>
        <w:t xml:space="preserve">“Total electron content variations over southern Europe before and during the M 6.3 Abruzzo earthquake of April 6, 2009,”</w:t>
      </w:r>
      <w:r>
        <w:t xml:space="preserve"> </w:t>
      </w:r>
      <w:r>
        <w:t xml:space="preserve">Annals of geophysics, vol. 55, no. 1, 2012, doi: 10.4401/ag-5322.</w:t>
      </w:r>
    </w:p>
    <w:p>
      <w:pPr>
        <w:pStyle w:val="BodyText"/>
      </w:pPr>
      <w:r>
        <w:t xml:space="preserve">[59]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[60]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 doi: 10.19026/rjaset.6.3638.</w:t>
      </w:r>
    </w:p>
    <w:p>
      <w:pPr>
        <w:pStyle w:val="BodyText"/>
      </w:pPr>
      <w:r>
        <w:t xml:space="preserve">[61] P. G. Fennell, Z. Zuo, and K. Lerman,</w:t>
      </w:r>
      <w:r>
        <w:t xml:space="preserve"> </w:t>
      </w:r>
      <w:r>
        <w:t xml:space="preserve">“Predicting and explaining behavioral data with structured feature space decomposition,”</w:t>
      </w:r>
      <w:r>
        <w:t xml:space="preserve"> </w:t>
      </w:r>
      <w:r>
        <w:t xml:space="preserve">EPJ Data Sci., vol. 8, no. 1, Dec. 2019, doi: 10.48550/arXiv.1810.09841.</w:t>
      </w:r>
    </w:p>
    <w:p>
      <w:pPr>
        <w:pStyle w:val="BodyText"/>
      </w:pPr>
      <w:r>
        <w:t xml:space="preserve">[62] M. Fagerland, S. Lydersen, and P. Laake, Statistical Analysis of Contingency Tables. Boca Raton, Florida: Chapman, 2017.</w:t>
      </w:r>
    </w:p>
    <w:p>
      <w:pPr>
        <w:pStyle w:val="BodyText"/>
      </w:pPr>
      <w:r>
        <w:t xml:space="preserve">[63] S. C. Chow, J. Shao, H. Wang, and Y. Lokhnygina, Sample Size Calculations in Clinical Research. Boca Raton, Florida: Chapman, 2018.</w:t>
      </w:r>
    </w:p>
    <w:p>
      <w:pPr>
        <w:pStyle w:val="BodyText"/>
      </w:pPr>
      <w:r>
        <w:t xml:space="preserve">[64] A. L. Edwards,</w:t>
      </w:r>
      <w:r>
        <w:t xml:space="preserve"> </w:t>
      </w:r>
      <w:r>
        <w:t xml:space="preserve">“Note on the</w:t>
      </w:r>
      <w:r>
        <w:t xml:space="preserve"> </w:t>
      </w:r>
      <w:r>
        <w:t xml:space="preserve">‘correction for continuity’</w:t>
      </w:r>
      <w:r>
        <w:t xml:space="preserve"> </w:t>
      </w:r>
      <w:r>
        <w:t xml:space="preserve">in testing the significance of the difference between correlated proportions,”</w:t>
      </w:r>
      <w:r>
        <w:t xml:space="preserve"> </w:t>
      </w:r>
      <w:r>
        <w:t xml:space="preserve">Psychometrika, vol. 13, no. 3, pp. 185–187, 1948, doi: 10.1007/BF02289261.</w:t>
      </w:r>
    </w:p>
    <w:p>
      <w:pPr>
        <w:pStyle w:val="BodyText"/>
      </w:pPr>
      <w:r>
        <w:t xml:space="preserve">[65]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[66]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[67] A. Mccallum and K. Nigam,</w:t>
      </w:r>
      <w:r>
        <w:t xml:space="preserve"> </w:t>
      </w:r>
      <w:r>
        <w:t xml:space="preserve">“A Comparison of Event Models for Naive Bayes Text Classification,”</w:t>
      </w:r>
      <w:r>
        <w:t xml:space="preserve"> </w:t>
      </w:r>
      <w:r>
        <w:t xml:space="preserve">Work Learn Text Categ, vol. 752, May 2001.</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2024-11-28T16:47:10Z</dcterms:created>
  <dcterms:modified xsi:type="dcterms:W3CDTF">2024-11-28T16:47:10Z</dcterms:modified>
</cp:coreProperties>
</file>

<file path=docProps/custom.xml><?xml version="1.0" encoding="utf-8"?>
<Properties xmlns="http://schemas.openxmlformats.org/officeDocument/2006/custom-properties" xmlns:vt="http://schemas.openxmlformats.org/officeDocument/2006/docPropsVTypes"/>
</file>