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w:t>
      </w:r>
    </w:p>
    <w:p>
      <w:pPr>
        <w:pStyle w:val="BodyText"/>
      </w:pPr>
      <w:r>
        <w:t xml:space="preserve">Overcoming the shortcomings and vulnerabilities of GNSS PNT is a scientific challenge, and the need of a wide variety of scientists, developers, operators, regulators, and users of GNSS-based systems and services [2, 1].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[3, 4].</w:t>
      </w:r>
    </w:p>
    <w:p>
      <w:pPr>
        <w:pStyle w:val="BodyText"/>
      </w:pPr>
      <w:r>
        <w:t xml:space="preserve">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Earth’s atmosphere and the resulting ionospheric delay [3, 6, 4]. The GNSS ionospheric delay causes errors in GNSS PNT algorithm deployment, designed to produce position, velocity, and time estimates for a GNSS receiver [5, 4].</w:t>
      </w:r>
    </w:p>
    <w:p>
      <w:pPr>
        <w:pStyle w:val="BodyText"/>
      </w:pPr>
      <w:r>
        <w:t xml:space="preserve">The ionosphere affects GNSS satellite signals for position estimation by introducing signal propagation delay [5, 4]. The GNSS ionospheric delay is a stochastic variable, whose value is determined by complex physical processes of space weather [4, 1].</w:t>
      </w:r>
    </w:p>
    <w:p>
      <w:pPr>
        <w:pStyle w:val="BodyText"/>
      </w:pPr>
      <w:r>
        <w:t xml:space="preserve">How space weather affects GNSS PNT performance was explained using the Space weather – GNSS PNT performance coupling model [4],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 [4].</w:t>
      </w:r>
    </w:p>
    <w:tbl>
      <w:tblPr>
        <w:tblStyle w:val="Table"/>
        <w:tblW w:type="auto" w:w="0"/>
        <w:tblLook w:firstRow="0" w:lastRow="0" w:firstColumn="0" w:lastColumn="0" w:noHBand="0" w:noVBand="0" w:val="0000"/>
        <w:tblCaption w:val="The Space weather –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[7].</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[8].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9, 10]. Current space weather severity scales, such as the one provided by National Oceanic and Atmospheric Administration (NOAA) [NOAA2024eSpace],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 [11] 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[12]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[7]. The INTERMAGNET [12]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[13, 14, 15].</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 [16], or outlier detection [17]. SVM models are also effective for non-linear classification using the hyperplane kernel trick [18, 19]. Intuitively, a good separation is achieved by the hyperplane with the greatest distance to the nearest point in the training data belonging to any class [20]. Support Vector Clustering (SVC) [21] is a related method for clustering unlabeled data.</w:t>
      </w:r>
    </w:p>
    <w:p>
      <w:pPr>
        <w:pStyle w:val="BodyText"/>
      </w:pPr>
      <w:r>
        <w:t xml:space="preserve">Meyer, Leisch, and Hornik compared SVM models with other classifiers [22].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 [23].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[24].</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 [25].</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 [26], and machine learning. Classification trees use a discrete target variable, while regression trees can handle continuous values [27]. DT models are popular due to their comprehensibility and simplicity [28].</w:t>
      </w:r>
    </w:p>
    <w:p>
      <w:pPr>
        <w:pStyle w:val="BodyText"/>
      </w:pPr>
      <w:r>
        <w:t xml:space="preserve">A tree is recursively partitioned by dividing the original set, or root node, into subsets that form descendants, or successors, using classification rules based on features [29]. This process of Top-Down Induction of Decision Trees (TDIDT) [30] is an example of a greedy algorithm that is the most common strategy for learning DT models from data [31].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 [32] classifiers are a family of linear "probabilistic classifiers" that assume that, given a target class, the features are conditionally independent. These classifiers are among the simplest Bayesian network models [33], but a NB classifier model is not necessarily a Bayesian method. Maximum likelihood training evaluates a closed-form expression [34] in linear time instead of using iterative approximation.</w:t>
      </w:r>
    </w:p>
    <w:p>
      <w:pPr>
        <w:pStyle w:val="BodyText"/>
      </w:pPr>
      <w:r>
        <w:t xml:space="preserve">Despite their simplicity, NB classifier models have performed well in real-world situations [35]. However, a comprehensive comparison in 2006 showed that Bayesian classification performed worse than boosted trees or Random Forest (RF) [36]. An advantage of NB over other models is a smaller amount of training data [37, 38].</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 [39].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[40, 41].</w:t>
      </w:r>
    </w:p>
    <w:p>
      <w:pPr>
        <w:pStyle w:val="BodyText"/>
      </w:pPr>
      <w:r>
        <w:t xml:space="preserve">Shallow NN models typically contain only a few hidden layers for processing between the input layer that receives the data and the final layer that produces the output [42, 43]. A network with at least two hidden layers [44] is a deep NN model.</w:t>
      </w:r>
    </w:p>
    <w:p>
      <w:pPr>
        <w:pStyle w:val="BodyText"/>
      </w:pPr>
      <w:r>
        <w:t xml:space="preserve">Gradient-based methods such as backpropagation estimate ANN parameters [45] to minimize the difference or empirical risk between the output and target labels, expressed in a loss function [46]. The hyperparameters may also be modified to suit the problem [47] during an extensive tuning process, like the one used in this study.</w:t>
      </w:r>
    </w:p>
    <w:p>
      <w:pPr>
        <w:pStyle w:val="BodyText"/>
      </w:pPr>
      <w:r>
        <w:t xml:space="preserve">Principal Component Analysis (PCA) [48, 49] is a linear dimensionality reduction technique in exploratory data analysis, visualization [50],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[51] 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[52, 53],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[54].</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(projections) form an orthogonal basis in PLS regression, and the loadings are chosen to achieve this. In PCA orthogonality is not imposed on scores [55] but onto loadings instead [56, 57]. Many versions of PLS exist [58, 59] for estimating the factor and loading matrices, such as the PLS1 algorithm [60, 61].</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[62, 63] based on a mixture of non-parametric linear regression models [64], such as Multivariate Adaptive Regression Splines (MARS) and Linear Discriminant Analysis (LDA).</w:t>
      </w:r>
    </w:p>
    <w:p>
      <w:pPr>
        <w:pStyle w:val="BodyText"/>
      </w:pPr>
      <w:r>
        <w:t xml:space="preserve">Many predictors can be used at once in FDA [65], and variable interactions are automatically noted [66]. FDA is complex but execution time and computational load are adequate [67]. The algorithm is not largely affected by outliers [68].</w:t>
      </w:r>
    </w:p>
    <w:p>
      <w:pPr>
        <w:pStyle w:val="BodyText"/>
      </w:pPr>
      <w:r>
        <w:t xml:space="preserve">Changed settings significantly alter FDA [69], and estimation might fail if predictors are correlated. FDA is prone to overfitting [70], and challenging to comprehend [71]. Feature normality and equal group covariances are assumed [72, 73].</w:t>
      </w:r>
    </w:p>
    <w:p>
      <w:pPr>
        <w:pStyle w:val="BodyText"/>
      </w:pPr>
      <w:r>
        <w:t xml:space="preserve">LDA, Normal Discriminant Analysis (NDA), or discriminant function analysis [74] is a generalization of Fisher’s linear discriminant defined in 1936 [62, 75, 76]. The results of LDA may be utilized directly, as demonstrated in this experiment, but they are more often used to reduce dimensionality [77].</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[78, 79]. Changes in the ionosphere include the density distribution,</w:t>
      </w:r>
      <w:r>
        <w:t xml:space="preserve"> </w:t>
      </w:r>
      <m:oMath>
        <m:r>
          <m:t>T</m:t>
        </m:r>
        <m:r>
          <m:t>E</m:t>
        </m:r>
        <m:r>
          <m:t>C</m:t>
        </m:r>
      </m:oMath>
      <w:r>
        <w:t xml:space="preserve">, and the current balance [komjathy2023global].</w:t>
      </w:r>
    </w:p>
    <w:p>
      <w:pPr>
        <w:pStyle w:val="BodyText"/>
      </w:pPr>
      <w:r>
        <w:t xml:space="preserve">Geomagnetic storms cause signal deterioration by affecting Global Electric Current (GEC) variability [NOAA2024aRadioCommunications]. The ionosphere may show changes related to location, geomagnetic and solar activity, sunspots, local time [80], seasonality, thunderstorms [81], nuclear experiments, earthquakes [82], and other phenomena.</w:t>
      </w:r>
    </w:p>
    <w:p>
      <w:pPr>
        <w:pStyle w:val="BodyText"/>
      </w:pPr>
      <w:r>
        <w:t xml:space="preserve">Many parameters can describe the Earth’s geomagnetic field [83].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[84, 85].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[86],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 [87],</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 [NOAA2024bKindex] 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[88] 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[NOAA2024cAlertsWatches] 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 [89, 90]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[91].</w:t>
      </w:r>
    </w:p>
    <w:p>
      <w:pPr>
        <w:pStyle w:val="BodyText"/>
      </w:pPr>
      <w:r>
        <w:t xml:space="preserve">The</w:t>
      </w:r>
      <w:r>
        <w:t xml:space="preserve"> </w:t>
      </w:r>
      <m:oMath>
        <m:sSub>
          <m:e>
            <m:r>
              <m:t>K</m:t>
            </m:r>
          </m:e>
          <m:sub>
            <m:r>
              <m:t>p</m:t>
            </m:r>
          </m:sub>
        </m:sSub>
      </m:oMath>
      <w:r>
        <w:t xml:space="preserve">-index as related to geomagnetic storm descriptions and warnings using the NOAA G scale [NOAA2024eSpace, NOAA2024fScales] 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 [92] and a scientific publication [93] 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 [NOAA2024eSpace, NOAA2024fScales].</w:t>
      </w:r>
    </w:p>
    <w:tbl>
      <w:tblPr>
        <w:tblStyle w:val="Table"/>
        <w:tblW w:type="auto" w:w="0"/>
        <w:tblLook w:firstRow="1" w:lastRow="0" w:firstColumn="0" w:lastColumn="0" w:noHBand="0" w:noVBand="0" w:val="0020"/>
        <w:tblCaption w:val="The K_{p}-index as related to geomagnetic storm descriptions and warnings using the NOAA G scale [NOAA2024eSpace, NOAA2024fScales]."/>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[NOAA2024gGeomagneticIndices]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 [NOAA2024bKindex].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 [NOAA2024gGeomagneticIndices].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p>
    <w:p>
      <w:pPr>
        <w:pStyle w:val="BodyText"/>
      </w:pPr>
      <m:oMathPara>
        <m:oMathParaPr>
          <m:jc m:val="center"/>
        </m:oMathParaP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m:oMathPara>
    </w:p>
    <w:p>
      <w:pPr>
        <w:pStyle w:val="FirstParagraph"/>
      </w:pPr>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 [NOAA2024bKindex].</w:t>
      </w:r>
    </w:p>
    <w:tbl>
      <w:tblPr>
        <w:tblStyle w:val="Table"/>
        <w:tblW w:type="auto" w:w="0"/>
        <w:tblLook w:firstRow="1" w:lastRow="0" w:firstColumn="0" w:lastColumn="0" w:noHBand="0" w:noVBand="0" w:val="0020"/>
        <w:tblCaption w:val="The a-index values for each K-index, from [NOAA2024bKindex]."/>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 [NOAA2024gGeomagneticIndices].</w:t>
      </w:r>
    </w:p>
    <w:tbl>
      <w:tblPr>
        <w:tblStyle w:val="Table"/>
        <w:tblW w:type="auto" w:w="0"/>
        <w:tblLook w:firstRow="1" w:lastRow="0" w:firstColumn="0" w:lastColumn="0" w:noHBand="0" w:noVBand="0" w:val="0020"/>
        <w:tblCaption w:val="The a_{p}-index values for each K_{p}-index, from [NOAA2024gGeomagneticIndices]."/>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[79].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 [89, 90], and the Geomagnetism and Space Magnetism Data Analysis Center of the Institute of Science, Kyoto University in Japan.</w:t>
      </w:r>
    </w:p>
    <w:p>
      <w:pPr>
        <w:pStyle w:val="BodyText"/>
      </w:pPr>
      <w:r>
        <w:t xml:space="preserve">Loewe and Prölss [94] 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 [95] used three groups for the same data in 1994, as shown in Table </w:t>
      </w:r>
      <w:hyperlink w:anchor="tab:gonzalez1994">
        <w:r>
          <w:rPr>
            <w:rStyle w:val="Hyperlink"/>
          </w:rPr>
          <w:t xml:space="preserve">7</w:t>
        </w:r>
      </w:hyperlink>
      <w:r>
        <w:t xml:space="preserve">, similar to Kamide et al. in 1998 [96], Rozhnoi et al. in 2004 [97], and Contadakis et al. in 2012 [98].</w:t>
      </w:r>
    </w:p>
    <w:bookmarkStart w:id="37" w:name="tab:loewe1997"/>
    <w:p>
      <w:pPr>
        <w:pStyle w:val="TableCaption"/>
      </w:pPr>
      <w:r>
        <w:t xml:space="preserve">Storm classification from Loewe and Prölss, in 1997 [94].</w:t>
      </w:r>
    </w:p>
    <w:tbl>
      <w:tblPr>
        <w:tblStyle w:val="Table"/>
        <w:tblW w:type="auto" w:w="0"/>
        <w:tblLook w:firstRow="0" w:lastRow="0" w:firstColumn="0" w:lastColumn="0" w:noHBand="0" w:noVBand="0" w:val="0000"/>
        <w:tblCaption w:val="Storm classification from Loewe and Prölss, in 1997 [94]."/>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 [95].</w:t>
      </w:r>
    </w:p>
    <w:tbl>
      <w:tblPr>
        <w:tblStyle w:val="Table"/>
        <w:tblW w:type="auto" w:w="0"/>
        <w:tblLook w:firstRow="0" w:lastRow="0" w:firstColumn="0" w:lastColumn="0" w:noHBand="0" w:noVBand="0" w:val="0000"/>
        <w:tblCaption w:val="Storm classification from Gonzales et al., in 1994 [95]."/>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[99, 100, 101].</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 [94].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 [102]. There are many ways to standardize data, such as minimum-maximum, normalization by decimal scaling, and Z-score [103]. Subtracting the mean and dividing by the variance for each feature are commonly used for SVM models [104]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[105] and</w:t>
      </w:r>
      <w:r>
        <w:t xml:space="preserve"> </w:t>
      </w:r>
      <w:r>
        <w:rPr>
          <w:i/>
          <w:iCs/>
        </w:rPr>
        <w:t xml:space="preserve">shapiro.test</w:t>
      </w:r>
      <w:r>
        <w:t xml:space="preserve"> </w:t>
      </w:r>
      <w:r>
        <w:t xml:space="preserve">[106],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[107, 108].</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 [109, 110].</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 [111]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[112] 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 [113].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bookmarkStart w:id="75"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G. K. Seemala,</w:t>
      </w:r>
      <w:r>
        <w:t xml:space="preserve"> </w:t>
      </w:r>
      <w:r>
        <w:t xml:space="preserve">“Chapter 4 - Estimation of ionospheric total electron content (TEC) from GNSS observations,”</w:t>
      </w:r>
      <w:r>
        <w:t xml:space="preserve"> </w:t>
      </w:r>
      <w:r>
        <w:t xml:space="preserve">in Atmospheric Remote Sensing, A. Kumar Singh and S. Tiwari, Eds. Amsterdam, Netherlands: Elsevier, 2023, pp. 63–84. doi: https://doi.org/10.1016/B978-0-323-99262-6.00022-5.</w:t>
      </w:r>
    </w:p>
    <w:p>
      <w:pPr>
        <w:pStyle w:val="BodyText"/>
      </w:pPr>
      <w:r>
        <w:t xml:space="preserve">[8]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[9]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[10]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[11] NOAA, NOAA Space Weather Scales | NOAA / NWS Space Weather Prediction Center — swpc.noaa.gov. https://www.swpc.noaa.gov/noaa-scales-explanation, 2024. [Online] . Available: https://www.swpc.noaa.gov/noaa-scales-explanation</w:t>
      </w:r>
    </w:p>
    <w:p>
      <w:pPr>
        <w:pStyle w:val="BodyText"/>
      </w:pPr>
      <w:r>
        <w:t xml:space="preserve">[12]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[13] INTERMAGNET and others, Intermagnet reference data set (IRDS) 2019 – definitive magnetic observatory data. GFZ Data Services, 2022. doi: https://doi.org/10.5880/INTERMAGNET.1991.2019.</w:t>
      </w:r>
    </w:p>
    <w:p>
      <w:pPr>
        <w:pStyle w:val="BodyText"/>
      </w:pPr>
      <w:r>
        <w:t xml:space="preserve">[14] M. Kuhn, Applied predictive modeling. Springer, 2013.</w:t>
      </w:r>
    </w:p>
    <w:p>
      <w:pPr>
        <w:pStyle w:val="BodyText"/>
      </w:pPr>
      <w:r>
        <w:t xml:space="preserve">[15] M. Kuhn, The caret Package — topepo.github.io. https://topepo.github.io/caret/, 2024. [Online] . Available: https://topepo.github.io/caret/</w:t>
      </w:r>
    </w:p>
    <w:p>
      <w:pPr>
        <w:pStyle w:val="BodyText"/>
      </w:pPr>
      <w:r>
        <w:t xml:space="preserve">[16] RCoreTeam, R: The R Project for Statistical Computing — r-project.org. https://www.r-project.org/, 2024. [Online] . Available: https://www.r-project.org/</w:t>
      </w:r>
    </w:p>
    <w:p>
      <w:pPr>
        <w:pStyle w:val="BodyText"/>
      </w:pPr>
      <w:r>
        <w:t xml:space="preserve">[17] C. Cortes and V. Vapnik,</w:t>
      </w:r>
      <w:r>
        <w:t xml:space="preserve"> </w:t>
      </w:r>
      <w:r>
        <w:t xml:space="preserve">“Support-vector networks,”</w:t>
      </w:r>
      <w:r>
        <w:t xml:space="preserve"> </w:t>
      </w:r>
      <w:r>
        <w:t xml:space="preserve">Mach. Learn., vol. 20, no. 3, pp. 273–297, Sep. 1995.</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B. E. Boser, I. M. Guyon, and V. N. Vapnik,</w:t>
      </w:r>
      <w:r>
        <w:t xml:space="preserve"> </w:t>
      </w:r>
      <w:r>
        <w:t xml:space="preserve">“A training algorithm for optimal margin classifiers,”</w:t>
      </w:r>
      <w:r>
        <w:t xml:space="preserve"> </w:t>
      </w:r>
      <w:r>
        <w:t xml:space="preserve">Jul. 1992.</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T. Hastie, S. Rosset, J. Zhu, and H. Zou,</w:t>
      </w:r>
      <w:r>
        <w:t xml:space="preserve"> </w:t>
      </w:r>
      <w:r>
        <w:t xml:space="preserve">“Multi-class AdaBoost,”</w:t>
      </w:r>
      <w:r>
        <w:t xml:space="preserve"> </w:t>
      </w:r>
      <w:r>
        <w:t xml:space="preserve">Stat. Interface, vol. 2, no. 3, pp. 349–360, 2009.</w:t>
      </w:r>
    </w:p>
    <w:p>
      <w:pPr>
        <w:pStyle w:val="BodyText"/>
      </w:pPr>
      <w:r>
        <w:t xml:space="preserve">[22]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[23]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[24]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[25] W. H. Press, S. A. Teukolsky, W. T. Vetterling, and B. P. Flannery, Numerical recipes 3rd edition, Third. Cambridge, England: Cambridge University Press, 2007.</w:t>
      </w:r>
    </w:p>
    <w:p>
      <w:pPr>
        <w:pStyle w:val="BodyText"/>
      </w:pPr>
      <w:r>
        <w:t xml:space="preserve">[26]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[27] L. Rokach and O. Maimon, Data mining with decision trees. Singapore: World Scientific Publishing Company, 2014.</w:t>
      </w:r>
    </w:p>
    <w:p>
      <w:pPr>
        <w:pStyle w:val="BodyText"/>
      </w:pPr>
      <w:r>
        <w:t xml:space="preserve">[28]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[29] X. Wu et al.,</w:t>
      </w:r>
      <w:r>
        <w:t xml:space="preserve"> </w:t>
      </w:r>
      <w:r>
        <w:t xml:space="preserve">“Top 10 algorithms in data mining,”</w:t>
      </w:r>
      <w:r>
        <w:t xml:space="preserve"> </w:t>
      </w:r>
      <w:r>
        <w:t xml:space="preserve">Knowl. Inf. Syst., vol. 14, no. 1, pp. 1–37, Jan. 2008.</w:t>
      </w:r>
    </w:p>
    <w:p>
      <w:pPr>
        <w:pStyle w:val="BodyText"/>
      </w:pPr>
      <w:r>
        <w:t xml:space="preserve">[30]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[31] J. R. Quinlan,</w:t>
      </w:r>
      <w:r>
        <w:t xml:space="preserve"> </w:t>
      </w:r>
      <w:r>
        <w:t xml:space="preserve">“Induction of decision trees,”</w:t>
      </w:r>
      <w:r>
        <w:t xml:space="preserve"> </w:t>
      </w:r>
      <w:r>
        <w:t xml:space="preserve">Mach. Learn., vol. 1, no. 1, pp. 81–106, Mar. 1986.</w:t>
      </w:r>
    </w:p>
    <w:p>
      <w:pPr>
        <w:pStyle w:val="BodyText"/>
      </w:pPr>
      <w:r>
        <w:t xml:space="preserve">[32]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[33] D. J. Hand and K. Yu,</w:t>
      </w:r>
      <w:r>
        <w:t xml:space="preserve"> </w:t>
      </w:r>
      <w:r>
        <w:t xml:space="preserve">“Idiot’s Bayes: Not So Stupid after All?,”</w:t>
      </w:r>
      <w:r>
        <w:t xml:space="preserve"> </w:t>
      </w:r>
      <w:r>
        <w:t xml:space="preserve">Int. Stat. Rev., vol. 69, no. 3, p. 385, Dec. 2001.</w:t>
      </w:r>
    </w:p>
    <w:p>
      <w:pPr>
        <w:pStyle w:val="BodyText"/>
      </w:pPr>
      <w:r>
        <w:t xml:space="preserve">[34] A. McCallum, Graphical Models Lecture 2: Bayesian Network Representation. https://people.cs.umass.edu/ mccallum/courses/gm2011/02-bn-rep.pdf, 2011. [Online] . Available: https://people.cs.umass.edu/ mccallum/courses/gm2011/02-bn-rep.pdf</w:t>
      </w:r>
    </w:p>
    <w:p>
      <w:pPr>
        <w:pStyle w:val="BodyText"/>
      </w:pPr>
      <w:r>
        <w:t xml:space="preserve">[35] S. J. Russell and P. Norvig, Artificial intelligence: a modern approach. London, England: Pearson, 2016.</w:t>
      </w:r>
    </w:p>
    <w:p>
      <w:pPr>
        <w:pStyle w:val="BodyText"/>
      </w:pPr>
      <w:r>
        <w:t xml:space="preserve">[36]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[37]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[38] G. H. John and P. Langley, Estimating Continuous Distributions in Bayesian Classifiers. 2013.</w:t>
      </w:r>
    </w:p>
    <w:p>
      <w:pPr>
        <w:pStyle w:val="BodyText"/>
      </w:pPr>
      <w:r>
        <w:t xml:space="preserve">[39]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[40] M. N. Murty and V. S. Devi, Pattern recognition: An algorithmic approach. Berlin/Heidelberg, Germany: Springer Science &amp; Business Media, 2011.</w:t>
      </w:r>
    </w:p>
    <w:p>
      <w:pPr>
        <w:pStyle w:val="BodyText"/>
      </w:pPr>
      <w:r>
        <w:t xml:space="preserve">[41] MIT, Explained: Neural networks — news.mit.edu. https://news.mit.edu/2017/explained-neural-networks-deep-learning-0414, 2017. [Online] . Available: https://news.mit.edu/2017/explained-neural-networks-deep-learning-0414</w:t>
      </w:r>
    </w:p>
    <w:p>
      <w:pPr>
        <w:pStyle w:val="BodyText"/>
      </w:pPr>
      <w:r>
        <w:t xml:space="preserve">[42] A. Brahme, Comprehensive biomedical physics. 8-11 Southampton Street, London: Newnes, 2014.</w:t>
      </w:r>
    </w:p>
    <w:p>
      <w:pPr>
        <w:pStyle w:val="BodyText"/>
      </w:pPr>
      <w:r>
        <w:t xml:space="preserve">[43]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[44]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[45] C. Bishop, Pattern Recognition and Machine Learning. Berlin/Heidelberg, Germany: Springer, 2006.</w:t>
      </w:r>
    </w:p>
    <w:p>
      <w:pPr>
        <w:pStyle w:val="BodyText"/>
      </w:pPr>
      <w:r>
        <w:t xml:space="preserve">[46] V. Vapnik, The nature of statistical learning theory. Berlin/Heidelberg, Germany: Springer science &amp; business media, 2013.</w:t>
      </w:r>
    </w:p>
    <w:p>
      <w:pPr>
        <w:pStyle w:val="BodyText"/>
      </w:pPr>
      <w:r>
        <w:t xml:space="preserve">[47] I. Goodfellow, Deep learning. MIT press, 2016.</w:t>
      </w:r>
    </w:p>
    <w:p>
      <w:pPr>
        <w:pStyle w:val="BodyText"/>
      </w:pPr>
      <w:r>
        <w:t xml:space="preserve">[48]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[49]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[50] F. M. Stewart, Introduction to linear algebra. Mineola, New York, USA: Courier Dover Publications, 2019.</w:t>
      </w:r>
    </w:p>
    <w:p>
      <w:pPr>
        <w:pStyle w:val="BodyText"/>
      </w:pPr>
      <w:r>
        <w:t xml:space="preserve">[51]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[52] B. D. Ripley, Pattern recognition and neural networks. Cambridge, United Kingdom: Cambridge university press, 2007.</w:t>
      </w:r>
    </w:p>
    <w:p>
      <w:pPr>
        <w:pStyle w:val="BodyText"/>
      </w:pPr>
      <w:r>
        <w:t xml:space="preserve">[53]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[54]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[55]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[56]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[57]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[58]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[59]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[60]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[61]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[62] A. Höskuldsson,</w:t>
      </w:r>
      <w:r>
        <w:t xml:space="preserve"> </w:t>
      </w:r>
      <w:r>
        <w:t xml:space="preserve">“PLS regression methods,”</w:t>
      </w:r>
      <w:r>
        <w:t xml:space="preserve"> </w:t>
      </w:r>
      <w:r>
        <w:t xml:space="preserve">Journal of chemometrics, vol. 2, no. 3, pp. 211–228, 1988.</w:t>
      </w:r>
    </w:p>
    <w:p>
      <w:pPr>
        <w:pStyle w:val="BodyText"/>
      </w:pPr>
      <w:r>
        <w:t xml:space="preserve">[63]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[64] G. J. McLachlan, Discriminant analysis and statistical pattern recognition. Hoboken, New Jersey, U.S.: John Wiley &amp; Sons, 2005.</w:t>
      </w:r>
    </w:p>
    <w:p>
      <w:pPr>
        <w:pStyle w:val="BodyText"/>
      </w:pPr>
      <w:r>
        <w:t xml:space="preserve">[65]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[66] T. Hastie, R. Tibshirani, J. H. Friedman, and J. H. Friedman, The elements of statistical learning: data mining, inference, and prediction, vol. 2. Berlin/Heidelberg, Germany: Springer, 2009.</w:t>
      </w:r>
    </w:p>
    <w:p>
      <w:pPr>
        <w:pStyle w:val="BodyText"/>
      </w:pPr>
      <w:r>
        <w:t xml:space="preserve">[67]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[68]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[69]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[70]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[71]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[72]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[73]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[74] D. Wetcher-Hendricks, Analyzing quantitative data: An introduction for social researchers. Hoboken, New Jersey, U.S.: John Wiley &amp; Sons, 2011.</w:t>
      </w:r>
    </w:p>
    <w:p>
      <w:pPr>
        <w:pStyle w:val="BodyText"/>
      </w:pPr>
      <w:r>
        <w:t xml:space="preserve">[75] J. Cohen, P. Cohen, S. G. West, and L. S. Aiken, Applied multiple regression/correlation analysis for the behavioral sciences. Milton Park, Abingdon-on-Thames, Oxfordshire, England, UK: Routledge, 2013.</w:t>
      </w:r>
    </w:p>
    <w:p>
      <w:pPr>
        <w:pStyle w:val="BodyText"/>
      </w:pPr>
      <w:r>
        <w:t xml:space="preserve">[76]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[77]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[78] J. Hansen, Using SPSS for windows and macintosh: analyzing and understanding data. Taylor &amp; Francis, 2005.</w:t>
      </w:r>
    </w:p>
    <w:p>
      <w:pPr>
        <w:pStyle w:val="BodyText"/>
      </w:pPr>
      <w:r>
        <w:t xml:space="preserve">[79] J. A. Klobuchar,</w:t>
      </w:r>
      <w:r>
        <w:t xml:space="preserve"> </w:t>
      </w:r>
      <w:r>
        <w:t xml:space="preserve">“Design and characteristics of the GPS ionospheric time delay algorithm for single frequency users,”</w:t>
      </w:r>
      <w:r>
        <w:t xml:space="preserve"> </w:t>
      </w:r>
      <w:r>
        <w:t xml:space="preserve">in PLANS 1986-Position Location and Navigation Symposium, 1986, pp. 280–286.</w:t>
      </w:r>
    </w:p>
    <w:p>
      <w:pPr>
        <w:pStyle w:val="BodyText"/>
      </w:pPr>
      <w:r>
        <w:t xml:space="preserve">[80] B. Zolesi and Lj. R. Cander, Ionospheric prediction and forecasting. Berlin/Heidelberg, Germany: Springer, 2014.</w:t>
      </w:r>
    </w:p>
    <w:p>
      <w:pPr>
        <w:pStyle w:val="BodyText"/>
      </w:pPr>
      <w:r>
        <w:t xml:space="preserve">[81] A. Komjathy,</w:t>
      </w:r>
      <w:r>
        <w:t xml:space="preserve"> </w:t>
      </w:r>
      <w:r>
        <w:t xml:space="preserve">“Global ionospheric total electron content mapping using the Global Positioning System,”</w:t>
      </w:r>
      <w:r>
        <w:t xml:space="preserve"> </w:t>
      </w:r>
      <w:r>
        <w:t xml:space="preserve">University of New Brunswick, Department of Geodesy, techreport, 1997. [Online] . Available: https://api.semanticscholar.org/CorpusID:128511894</w:t>
      </w:r>
    </w:p>
    <w:p>
      <w:pPr>
        <w:pStyle w:val="BodyText"/>
      </w:pPr>
      <w:r>
        <w:t xml:space="preserve">[82] NOAA, HF Radio Communications | NOAA / NWS Space Weather Prediction Center — swpc.noaa.gov. http://www.swpc.noaa.gov/impacts/hf-radio-communications, 2024. [Online] . Available: http://www.swpc.noaa.gov/impacts/hf-radio-communications</w:t>
      </w:r>
    </w:p>
    <w:p>
      <w:pPr>
        <w:pStyle w:val="BodyText"/>
      </w:pPr>
      <w:r>
        <w:t xml:space="preserve">[83] S. Kotz, N. Balakrishnan, C. B. Read, B. Vidakovic, and N. L. Johnson, Encyclopedia of Statistical Sciences, Volume 1. Hoboken, New Jersey, U.S.: John Wiley &amp; Sons, 2005.</w:t>
      </w:r>
    </w:p>
    <w:p>
      <w:pPr>
        <w:pStyle w:val="BodyText"/>
      </w:pPr>
      <w:r>
        <w:t xml:space="preserve">[84]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w:t>
      </w:r>
    </w:p>
    <w:p>
      <w:pPr>
        <w:pStyle w:val="BodyText"/>
      </w:pPr>
      <w:r>
        <w:t xml:space="preserve">[85] M. Liu, G. Luo, and H. Wang,</w:t>
      </w:r>
      <w:r>
        <w:t xml:space="preserve"> </w:t>
      </w:r>
      <w:r>
        <w:t xml:space="preserve">“The 2013 Lushan earthquake in China tests hazard assessments,”</w:t>
      </w:r>
      <w:r>
        <w:t xml:space="preserve"> </w:t>
      </w:r>
      <w:r>
        <w:t xml:space="preserve">Seismological Research Letters, vol. 85, no. 1, pp. 40–43, 2014.</w:t>
      </w:r>
    </w:p>
    <w:p>
      <w:pPr>
        <w:pStyle w:val="BodyText"/>
      </w:pPr>
      <w:r>
        <w:t xml:space="preserve">[86] M. Ulukavak and M. Yalcinkaya,</w:t>
      </w:r>
      <w:r>
        <w:t xml:space="preserve"> </w:t>
      </w:r>
      <w:r>
        <w:t xml:space="preserve">“Analysis of ionospheric anomalies due to space weather conditions by using GPS-TEC variations,”</w:t>
      </w:r>
      <w:r>
        <w:t xml:space="preserve"> </w:t>
      </w:r>
      <w:r>
        <w:t xml:space="preserve">in FIG Congress, 2018, pp. 6–11.</w:t>
      </w:r>
    </w:p>
    <w:p>
      <w:pPr>
        <w:pStyle w:val="BodyText"/>
      </w:pPr>
      <w:r>
        <w:t xml:space="preserve">[87] R. Schwenn,</w:t>
      </w:r>
      <w:r>
        <w:t xml:space="preserve"> </w:t>
      </w:r>
      <w:r>
        <w:t xml:space="preserve">“Solar wind: Global properties,”</w:t>
      </w:r>
      <w:r>
        <w:t xml:space="preserve"> </w:t>
      </w:r>
      <w:r>
        <w:t xml:space="preserve">in Encyclopedia of Astronomy &amp; Astrophysics, Boca Raton, Florida, USA: CRC Press, 2001, pp. 1–9.</w:t>
      </w:r>
    </w:p>
    <w:p>
      <w:pPr>
        <w:pStyle w:val="BodyText"/>
      </w:pPr>
      <w:r>
        <w:t xml:space="preserve">[88] V. F. Melnikov,</w:t>
      </w:r>
      <w:r>
        <w:t xml:space="preserve"> </w:t>
      </w:r>
      <w:r>
        <w:t xml:space="preserve">“Relationships between Microwave, Hard X ray, and Corpuscular Emissions of Solar Flares,”</w:t>
      </w:r>
      <w:r>
        <w:t xml:space="preserve"> </w:t>
      </w:r>
      <w:r>
        <w:t xml:space="preserve">phdthesis, Ph. D. Thesis, Radiophysical Research Institute, Nizhniy Novgorod, Russia, 1990.</w:t>
      </w:r>
    </w:p>
    <w:p>
      <w:pPr>
        <w:pStyle w:val="BodyText"/>
      </w:pPr>
      <w:r>
        <w:t xml:space="preserve">[89] A. P. I. Android developers, Sensor types | Android Open Source Project — source.android.com. https://source.android.com/docs/core/interaction/sensors/sensor-types#magnetic_field_sensor, 2024. [Online] . Available: https://source.android.com/docs/core/interaction/sensors/sensor-types#magnetic_field_sensor</w:t>
      </w:r>
    </w:p>
    <w:p>
      <w:pPr>
        <w:pStyle w:val="BodyText"/>
      </w:pPr>
      <w:r>
        <w:t xml:space="preserve">[90] M. H. De Canck,</w:t>
      </w:r>
      <w:r>
        <w:t xml:space="preserve"> </w:t>
      </w:r>
      <w:r>
        <w:t xml:space="preserve">“Ionosphere properties and behaviors,”</w:t>
      </w:r>
      <w:r>
        <w:t xml:space="preserve"> </w:t>
      </w:r>
      <w:r>
        <w:t xml:space="preserve">Antennex, vol. 119, pp. 6–7, 2007.</w:t>
      </w:r>
    </w:p>
    <w:p>
      <w:pPr>
        <w:pStyle w:val="BodyText"/>
      </w:pPr>
      <w:r>
        <w:t xml:space="preserve">[91] NOAA, swpc.noaa.gov. https://www.swpc.noaa.gov/sites/default/files/images/u2/TheK-index.pdf, 2024. [Online] . Available: https://www.swpc.noaa.gov/sites/default/files/images/u2/TheK-index.pdf</w:t>
      </w:r>
    </w:p>
    <w:p>
      <w:pPr>
        <w:pStyle w:val="BodyText"/>
      </w:pPr>
      <w:r>
        <w:t xml:space="preserve">[92] J. Matzka, Kp Index — gfz-potsdam.de. https://www.gfz-potsdam.de/en/section/geomagnetism/data-products-services/geomagnetic-kp-index, 2024. [Online] . Available: https://www.gfz-potsdam.de/en/section/geomagnetism/data-products-services/geomagnetic-kp-index</w:t>
      </w:r>
    </w:p>
    <w:p>
      <w:pPr>
        <w:pStyle w:val="BodyText"/>
      </w:pPr>
      <w:r>
        <w:t xml:space="preserve">[93] NOAA, Alerts, Watches and Warnings | NOAA / NWS Space Weather Prediction Center — swpc.noaa.gov. https://www.swpc.noaa.gov/products/alerts-watches-and-warnings, 2024. [Online] . Available: https://www.swpc.noaa.gov/products/alerts-watches-and-warnings</w:t>
      </w:r>
    </w:p>
    <w:p>
      <w:pPr>
        <w:pStyle w:val="BodyText"/>
      </w:pPr>
      <w:r>
        <w:t xml:space="preserve">[94] N. Papitashvili, SPDF - About OMNIWeb Data — omniweb.gsfc.nasa.gov. http://omniweb.gsfc.nasa.gov/html/ow_data.html, 2024. [Online] . Available: http://omniweb.gsfc.nasa.gov/html/ow_data.html</w:t>
      </w:r>
    </w:p>
    <w:p>
      <w:pPr>
        <w:pStyle w:val="BodyText"/>
      </w:pPr>
      <w:r>
        <w:t xml:space="preserve">[95] N. Papitashvili, OMNIWeb Data Explorer — omniweb.gsfc.nasa.gov. http://omniweb.gsfc.nasa.gov/form/dx1.html, 2024. [Online] . Available: http://omniweb.gsfc.nasa.gov/form/dx1.html</w:t>
      </w:r>
    </w:p>
    <w:p>
      <w:pPr>
        <w:pStyle w:val="BodyText"/>
      </w:pPr>
      <w:r>
        <w:t xml:space="preserve">[96]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https://doi.org/10.1016/j.asr.2022.06.024.</w:t>
      </w:r>
    </w:p>
    <w:p>
      <w:pPr>
        <w:pStyle w:val="BodyText"/>
      </w:pPr>
      <w:r>
        <w:t xml:space="preserve">[97] NOAA, swpc.noaa.gov. https://www.swpc.noaa.gov/sites/default/files/images/NOAAscales.pdf, 2024. [Online] . Available: https://www.swpc.noaa.gov/sites/default/files/images/NOAAscales.pdf</w:t>
      </w:r>
    </w:p>
    <w:p>
      <w:pPr>
        <w:pStyle w:val="BodyText"/>
      </w:pPr>
      <w:r>
        <w:t xml:space="preserve">[98] J. Matzka, O. Bronkalla, K. Tornow, K. Elger, and C. Stolle, Geomagnetic Kp index. GFZ Data Services, 2021. doi: https://doi.org/10.1016/j.asr.2022.06.024.</w:t>
      </w:r>
    </w:p>
    <w:p>
      <w:pPr>
        <w:pStyle w:val="BodyText"/>
      </w:pPr>
      <w:r>
        <w:t xml:space="preserve">[99] J. Matzka, C. Stolle, Y. Yamazaki, O. Bronkalla, and A. Morschhauser, The geomagnetic KP index and derived indices of geomagnetic activity, vol. 19. American Geophysical Union (AGU), 2021. doi: https://doi.org/10.1029/2020SW002641.</w:t>
      </w:r>
    </w:p>
    <w:p>
      <w:pPr>
        <w:pStyle w:val="BodyText"/>
      </w:pPr>
      <w:r>
        <w:t xml:space="preserve">[100] NOAA, Geomagnetic kp and ap Indices | NCEI — ngdc.noaa.gov. https://www.ngdc.noaa.gov/stp/GEOMAG/kp_ap.html, 2024. [Online] . Available: https://www.ngdc.noaa.gov/stp/GEOMAG/kp_ap.html</w:t>
      </w:r>
    </w:p>
    <w:p>
      <w:pPr>
        <w:pStyle w:val="BodyText"/>
      </w:pPr>
      <w:r>
        <w:t xml:space="preserve">[101] C. A. Loewe and G. W. Prölss,</w:t>
      </w:r>
      <w:r>
        <w:t xml:space="preserve"> </w:t>
      </w:r>
      <w:r>
        <w:t xml:space="preserve">“Classification and mean behavior of magnetic storms,”</w:t>
      </w:r>
      <w:r>
        <w:t xml:space="preserve"> </w:t>
      </w:r>
      <w:r>
        <w:t xml:space="preserve">Journal of Geophysical Research: Space Physics, vol. 102, no. A7, pp. 14209–14213, 1997.</w:t>
      </w:r>
    </w:p>
    <w:p>
      <w:pPr>
        <w:pStyle w:val="BodyText"/>
      </w:pPr>
      <w:r>
        <w:t xml:space="preserve">[102] W. D. Gonzalez et al.,</w:t>
      </w:r>
      <w:r>
        <w:t xml:space="preserve"> </w:t>
      </w:r>
      <w:r>
        <w:t xml:space="preserve">“What is a geomagnetic storm?,”</w:t>
      </w:r>
      <w:r>
        <w:t xml:space="preserve"> </w:t>
      </w:r>
      <w:r>
        <w:t xml:space="preserve">Journal of Geophysical Research: Space Physics, vol. 99, no. A4, pp. 5771–5792, 1994.</w:t>
      </w:r>
    </w:p>
    <w:p>
      <w:pPr>
        <w:pStyle w:val="BodyText"/>
      </w:pPr>
      <w:r>
        <w:t xml:space="preserve">[103] Y. Kamide et al.,</w:t>
      </w:r>
      <w:r>
        <w:t xml:space="preserve"> </w:t>
      </w:r>
      <w:r>
        <w:t xml:space="preserve">“Two-step development of geomagnetic storms,”</w:t>
      </w:r>
      <w:r>
        <w:t xml:space="preserve"> </w:t>
      </w:r>
      <w:r>
        <w:t xml:space="preserve">Journal of Geophysical Research: Space Physics, vol. 103, no. A4, pp. 6917–6921, 1998.</w:t>
      </w:r>
    </w:p>
    <w:p>
      <w:pPr>
        <w:pStyle w:val="BodyText"/>
      </w:pPr>
      <w:r>
        <w:t xml:space="preserve">[104]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w:t>
      </w:r>
    </w:p>
    <w:p>
      <w:pPr>
        <w:pStyle w:val="BodyText"/>
      </w:pPr>
      <w:r>
        <w:t xml:space="preserve">[105]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w:t>
      </w:r>
    </w:p>
    <w:p>
      <w:pPr>
        <w:pStyle w:val="BodyText"/>
      </w:pPr>
      <w:r>
        <w:t xml:space="preserve">[106] M. Kuhn, 4 Data Splitting | The caret Package — topepo.github.io. https://topepo.github.io/caret/data-splitting.html, 2024. [Online] . Available: https://topepo.github.io/caret/data-splitting.html</w:t>
      </w:r>
    </w:p>
    <w:p>
      <w:pPr>
        <w:pStyle w:val="BodyText"/>
      </w:pPr>
      <w:r>
        <w:t xml:space="preserve">[107] R. J. Hyndman, Forecasting: principles and practice. Melbourne, Australia: OTexts, 2018.</w:t>
      </w:r>
    </w:p>
    <w:p>
      <w:pPr>
        <w:pStyle w:val="BodyText"/>
      </w:pPr>
      <w:r>
        <w:t xml:space="preserve">[108]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[109]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[110]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[111]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[112] R. ks.test developers, ks.test function - RDocumentation — rdocumentation.org. https://www.rdocumentation.org/packages/stats/versions/3.6.2/topics/ks.test, 2024. [Online] . Available: https://www.rdocumentation.org/packages/stats/versions/3.6.2/topics/ks.test</w:t>
      </w:r>
    </w:p>
    <w:p>
      <w:pPr>
        <w:pStyle w:val="BodyText"/>
      </w:pPr>
      <w:r>
        <w:t xml:space="preserve">[113] R. shapiro.test developers, shapiro.test function - RDocumentation — rdocumentation.org. https://www.rdocumentation.org/packages/stats/versions/3.6.2/topics/shapiro.test, 2024. [Online] . Available: https://www.rdocumentation.org/packages/stats/versions/3.6.2/topics/shapiro.test</w:t>
      </w:r>
    </w:p>
    <w:p>
      <w:pPr>
        <w:pStyle w:val="BodyText"/>
      </w:pPr>
      <w:r>
        <w:t xml:space="preserve">[114]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[115]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[116]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[117]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[118]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[119] R. system.time developers, system.time function - RDocumentation — rdocumentation.org. https://www.rdocumentation.org/packages/base/versions/3.6.2/topics/system.time, 2024. [Online] . Available: https://www.rdocumentation.org/packages/base/versions/3.6.2/topics/system.time</w:t>
      </w:r>
    </w:p>
    <w:p>
      <w:pPr>
        <w:pStyle w:val="BodyText"/>
      </w:pPr>
      <w:r>
        <w:t xml:space="preserve">[120]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2024-10-27T11:34:06Z</dcterms:created>
  <dcterms:modified xsi:type="dcterms:W3CDTF">2024-10-27T11:34:06Z</dcterms:modified>
</cp:coreProperties>
</file>

<file path=docProps/custom.xml><?xml version="1.0" encoding="utf-8"?>
<Properties xmlns="http://schemas.openxmlformats.org/officeDocument/2006/custom-properties" xmlns:vt="http://schemas.openxmlformats.org/officeDocument/2006/docPropsVTypes"/>
</file>