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(Filjar, 2022). Maintaining the GNSS PNT quality has appeared fundamental for the sustainable development of modern economy and society (Filjar, 2022).</w:t>
      </w:r>
    </w:p>
    <w:p>
      <w:pPr>
        <w:pStyle w:val="BodyText"/>
      </w:pPr>
      <w:r>
        <w:t xml:space="preserve">Overcoming the shortcomings and vulnerabilities of GNSS PNT is a scientific challenge, and the need of a wide variety of scientists, developers, operators, regulators, and users of GNSS-based systems and services (Filjar et al., 2024, Filjar, 2022).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(Davies, 1990, Filić &amp; Filjar, 2018).</w:t>
      </w:r>
    </w:p>
    <w:p>
      <w:pPr>
        <w:pStyle w:val="BodyText"/>
      </w:pPr>
      <w:r>
        <w:t xml:space="preserve">This phenomenon especially affects most currently used GNSS receivers, which work as single-frequency receivers exposed to GNSS ionospheric effects (Spilker Jr et al., 1996, Filjar, 2022). Driven by powerful and random flows of energy and particles from the Sun (space weather conditions), the ionospheric conditions define the properties of GNSS signal propagation through the Earth’s atmosphere and the resulting ionospheric delay (Davies, 1990, Oxley, 2017, Filić &amp; Filjar, 2018). The GNSS ionospheric delay causes errors in GNSS PNT algorithm deployment, designed to produce position, velocity, and time estimates for a GNSS receiver (Spilker Jr et al., 1996, Filić &amp; Filjar, 2018).</w:t>
      </w:r>
    </w:p>
    <w:p>
      <w:pPr>
        <w:pStyle w:val="BodyText"/>
      </w:pPr>
      <w:r>
        <w:t xml:space="preserve">The ionosphere affects GNSS satellite signals for position estimation by introducing signal propagation delay (Spilker Jr et al., 1996, Filić &amp; Filjar, 2018). The GNSS ionospheric delay is a stochastic variable, whose value is determined by complex physical processes of space weather (Filić &amp; Filjar, 2018, Filjar, 2022).</w:t>
      </w:r>
    </w:p>
    <w:p>
      <w:pPr>
        <w:pStyle w:val="BodyText"/>
      </w:pPr>
      <w:r>
        <w:t xml:space="preserve">How space weather affects GNSS PNT performance was explained using the Space weather – GNSS PNT performance coupling model (Filić &amp; Filjar, 2018),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(Filić &amp; Filjar, 2018).</w:t>
      </w:r>
    </w:p>
    <w:tbl>
      <w:tblPr>
        <w:tblStyle w:val="Table"/>
        <w:tblW w:type="auto" w:w="0"/>
        <w:tblLook w:firstRow="0" w:lastRow="0" w:firstColumn="0" w:lastColumn="0" w:noHBand="0" w:noVBand="0" w:val="0000"/>
        <w:tblCaption w:val="The Space weather – GNSS PNT performance coupling model, after (Filić &amp; Filjar, 2018)."/>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(Filić &amp; Filjar, 2018, Filić &amp; Filjar, 2018).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(Filić &amp; Filjar, 2018, Davies, 1990),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 TEC is defined as a result, a consequence, of the ionospheric conditions, and not their descriptor (Filjar, 2022).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(Spilker Jr et al., 1996,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(Spilker Jr et al., 1996, Filić &amp; Filjar, 2018). The standard ionospheric correction models are global, and insufficiently flexible to update to mitigate GNSS ionospheric delay to satisfy rising demands on GNSS PNT performance (Filjar et al., 2024, Filić &amp; Filjar, 2018). The development of regional and local models attempts to solve the problem of GNSS PNT sustainable performance in various ionospheric conditions (Sikirica et al., 2021). In recent developments, our team has proposed the Ambient-Aware Application-Aligned ((AA)2) PNT to take into account the actual ionospheric and geomagnetic conditions near a mobile unit (a GNSS receiver) (Filjar, 2022, Filić &amp; Filjar, 2018, Filjar et al., 2024). Direct measurements of the immediate geomagnetic and ionospheric condition variables may be supplied to a machine learning-based adapted GNSS ionospheric correction model, thus solving the single-frequency GNSS problem (Filjar, 2022). Previous research has identified predictors and target variables (descriptors of geomagnetic, ionospheric, and GNSS PNT conditions) (Filić &amp; Filjar, 2018, Natras et al., 2022, Natras et al., 2023).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(Filjar, 2022, Filjar et al., 2024).</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(Filjar et al., 2020)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(Kuhn, 2013, Kuhn, 2024a, RCoreTeam, 2024).</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(Boser et al., 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(Cortes &amp; Vapnik, 1995). Support Vector Clustering (SVC) (Ben-Hur et al., 2001) applies support vector statistics to unlabeled data in unsupervised learning to find new natural groupings. Meyer, Leisch, and Hornik compared SVM with other classifiers (Meyer et al., 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(scikit-learn developers, 2023). Intuitively, a good separation is achieved by the hyperplane with the greatest distance to the nearest point in the training data belonging to any class (Hastie, Rosset, et al., 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(Boser et al., 1992, Aizerman et al., 1964). A multidimensional feature space increases the generalization error of SVM models, so additional samples are needed to enhance performance (C. Jin &amp; Wang, 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(Press et al., 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(Joachims, 1998). Some methods for shallow semantic parsing are based on SVM models (Pradhan et al., 2004). Image classification and segmentation can also be performed using SVM models, including a modified version of SVM that uses privileged access as proposed by Vapnik (Laurent et al., 2014, Barghout, 2015).</w:t>
      </w:r>
    </w:p>
    <w:p>
      <w:pPr>
        <w:pStyle w:val="BodyText"/>
      </w:pPr>
      <w:r>
        <w:t xml:space="preserve">Classification of satellite data such as Synthetic Aperture Radar (SAR) data is possible using a supervised SVM (Maity, 2016). Handwritten characters can be recognized using SVM models (Decoste &amp; Schölkopf, 2002, Maitra et al., 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(Gaonkar &amp; Davatzikos, 2013, Cuingnet et al., 2011). SVM weights were also used to interpret SVM models (Statnikov et al., 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 W. Hsu et al., 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(Studer et al., 2011). DT models are among the most popular ML algorithms due to their comprehensibility and simplicity (Wu et al., 2008). A DT describes the input data and the resulting classification tree can be the input for decision-making in data mining (Rokach &amp; Maimon, 2014).</w:t>
      </w:r>
    </w:p>
    <w:p>
      <w:pPr>
        <w:pStyle w:val="BodyText"/>
      </w:pPr>
      <w:r>
        <w:t xml:space="preserve">A tree is built by dividing the original set, which forms the root node, into subsets that form descendants, or successors. The segmentation is made using a set of rules based on classification features (Shalev-Shwartz &amp; Ben-David, 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(Quinlan, 1986) is an example of a greedy algorithm and is by far the most common strategy for learning DT models from data (Rokach &amp; Maimon, 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(McCallum, 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(Russell &amp; Norvig, 2016),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(Hand &amp; Yu, 2001). These names refer to Bayes’ theorem in the classifier’s decision rule, but a NB classifier model is not necessarily a Bayesian method (Russell &amp; Norvig, 2016, Hand &amp; Yu, 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(H. Zhang, 2004). However, a comprehensive comparison with other classification algorithms in 2006 showed that Bayesian classification performed worse than other approaches, such as boosted trees or random forests (Caruana &amp; Niculescu-Mizil, 2006). The advantage of NB models is a small amount of training data used to estimate the parameters needed for classification (StackExchange, 2024).</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(Murty &amp; Devi, 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(John &amp; Langley, 2013). Assumptions about the distribution of features are called an event model or Bayesian classifier, which can introduce confusion by creating both a continuous and discrete model (Mccallum &amp; Nigam, 2001, Metsis et al., 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(Hand &amp; Yu, 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(John &amp; Langley, 2013), can significantly increase the accuracy of the classifier (Piryonesi &amp; El-Diraby, 2020, Hastie, Rosset, et al., 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(MIT, 2017, Brahme, 2014).</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(Olden &amp; Jackson, 2002, Özesmi &amp; Özesmi, 1999). A network with at least two hidden layers (Bishop, 2006)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(Vapnik, 2013). Gradient-based methods such as backpropagation are usually used to estimate network parameters (Vapnik, 2013). During the training phase, ANN models learn from labeled training data by iteratively updating their parameters to minimize a defined loss function (Goodfellow, 2016).</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(Probst et al., 2019)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(Zoph, 2016).</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(H. Jin et al., 2019)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(Claesen &amp; De Moor, 2015).</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(Liu, 2020).</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(Wold et al., 2001, Abdi, 2010),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(Sæbø et al., 2008).</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(Asada, 2020),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(Lindgren et al., 1993, De Jong &amp; Ter Braak, 1994, Dayal &amp; MacGregor, 1997, De Jong, 1993, Rännar et al., 1994, Abdi, 2010). Many versions of PLS exist for estimating the factor and loading matrices, such as the PLS1 algorithm (Takane &amp; Loisel, 2016, Höskuldsson, 1988).</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(Hastie et al., 1995), such as Multivariate Adaptive Regression Splines (MARS) and Linear Discriminant Analysis (LDA).</w:t>
      </w:r>
    </w:p>
    <w:p>
      <w:pPr>
        <w:pStyle w:val="BodyText"/>
      </w:pPr>
      <w:r>
        <w:t xml:space="preserve">Many predictors can be used at once in FDA (Hastie, Tibshirani, et al., 2009), variable interactions are automatically noted (Hastie et al., 1994), it is complex but execution time and computational load are adequate (Reynès et al., 2006). The algorithm is not significantly affected by outliers (Phillips et al., 2017).</w:t>
      </w:r>
    </w:p>
    <w:p>
      <w:pPr>
        <w:pStyle w:val="BodyText"/>
      </w:pPr>
      <w:r>
        <w:t xml:space="preserve">Modifying different settings has a high impact on FDA (Hallgren et al., 2019), and the estimation might be unsuccessful if the predictor distributions are highly correlated. FDA is prone to overfitting (Thuiller et al., 2016), and challenging to comprehend or explain (Quillfeldt et al., 2017). The assumption of normality for the continuous independent variables is necessary (Z. Zhang et al., 2019) to determine the response or grouping categorical variable.</w:t>
      </w:r>
    </w:p>
    <w:p>
      <w:pPr>
        <w:pStyle w:val="BodyText"/>
      </w:pPr>
      <w:r>
        <w:t xml:space="preserve">LDA, Normal Discriminant Analysis (NDA), or discriminant function analysis is a generalization of Fisher’s linear LDA defined in 1936 (Cohen et al., 2013). The results of LDA may be utilized directly or to reduce dimensionality before classification, which is more often used (Hansen, 2005). LDA finds a linear combination of features or measurements differentiating two or more sample classes (Fisher, 1936, McLachlan, 2005). Discriminant analysis has continuous independent variables and a categorical dependent variable representing the groups (Wetcher-Hendricks, 2011).</w:t>
      </w:r>
    </w:p>
    <w:p>
      <w:pPr>
        <w:pStyle w:val="BodyText"/>
      </w:pPr>
      <w:r>
        <w:t xml:space="preserve">LDA is closely related to PCA and factor analysis since they identify linear functions of multiple variables that fit the input with the smallest error (Martinez &amp; Kak, 2001). Discriminant correspondence analysis (Abdi, 2007, Perriere &amp; Thioulouse, 2003) is equivalent to LDA for categorical independent variables. Points in discriminant function analysis are rated based on quantitative predictors and a group measure (Cokluk &amp; Buyukozturk, 2008) to represent classification (Venables &amp; Ripley, 2013).</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(Cokluk &amp; Buyukozturk, 2008). In every level of the grouping variable, independent variables must be normal to achieve multivariate normality (Cokluk &amp; Buyukozturk, 2008, Hansen, 2005). Box’s M statistic (Hansen, 2005)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(Cokluk &amp; Buyukozturk, 2008). The scores of one predictor variable should not depend on other predictor variables for any sample, and the samples should be chosen at random (Cokluk &amp; Buyukozturk, 2008, Hansen, 2005). Discriminant analysis can handle small deviations from these requirements (Lachenbruch &amp; Goldstein, 1979) and may be used even if multivariate normality is not achieved, such as for dichotomous variables (Klecka, 1980).</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(Härdle, 2003). A discriminant score describes how well a discriminant differentiates classes. (Garson, 2008).</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(Cokluk &amp; Buyukozturk, 2008). Eigenvalues do not have an upper limit (Cokluk &amp; Buyukozturk, 2008, Hansen, 2005), so the results should not be taken at face value.</w:t>
      </w:r>
    </w:p>
    <w:p>
      <w:pPr>
        <w:pStyle w:val="BodyText"/>
      </w:pPr>
      <w:r>
        <w:t xml:space="preserve">Even though it is not universally accepted, some suggest eigenvalues be utilized as effect size measures (Hansen, 2005). The percent of correctly classified data, such as the kappa value, can also be used as the effect size while accounting for random matches in classification (Hansen, 2005). Kappa is not biased for any particular class, whether performance is high or low, and instead normalizes across all classes (Israel, 2006).</w:t>
      </w:r>
    </w:p>
    <w:p>
      <w:pPr>
        <w:pStyle w:val="BodyText"/>
      </w:pPr>
      <w:r>
        <w:t xml:space="preserve">Fisher’s linear discriminant and LDA are sometimes considered synonyms. However, Fisher (Fisher, 1936) describes a slightly different discriminant, which does not make some of the assumptions of LDA such as a normal distribution or the equality of groups covariances. The application of the Fisher discriminant is expanded to find a subspace capturing all class variability (Garson, 2008) for multiple groups, as suggested by C. R. Rao (Rao, 1948).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(Ripley, 2007).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(Jolliffe &amp; Cadima, 2016).</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(Barnett &amp; Preisendorfer, 1987, D. Hsu et al., 2012, Markopoulos et al., 2017, Chachlakis et al., 2019). CCA does the same for the cross-covariance between two datasets. Robust and L1-norm-based variants of standard PCA have also been proposed (Chachlakis et al., 2019, Markopoulos et al., 2014, Zhan &amp; Vaswani, 2015, Ke &amp; Kanade, 2005).</w:t>
      </w:r>
    </w:p>
    <w:p>
      <w:pPr>
        <w:pStyle w:val="BodyText"/>
      </w:pPr>
      <w:r>
        <w:t xml:space="preserve">Karl Pearson (Pearson, 1901) conceived of PCA in 1901 as a counterpart of the principal axis theorem in mechanics (F. M. Stewart, 2019). Harold Hotelling discovered the Hotelling transform in multivariate quality control in the 1930s without knowledge of the previous work (Hotelling, 1933, Hotelling, 1992). Synonyms for PCA include the discrete Proper Orthogonal Decomposition (POD) (Berkooz et al., 1993, Karhunen, 1946, Loève, 1977, Sirovich, 1987) in mechanical engineering and the Kosambi–Karhunen–Loève or Karhunen–Loève Theorem (KLT) (Sapatnekar, 2011, Ghoman et al., 2012, Wang, 2016, Giambartolomei, 2016, Mallat, 1999, Tang, 1998)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(G. W. Stewart, 1993),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(Gloub &amp; Van Loan, 1996, Hayden &amp; Twede, 2002). Factor analysis differs in several key features (Jolliffe, 2002), but has many aspects in common with PCA. Empirical Orthogonal Functions (EOF) (Lorenz, 1956) in meteorological science were developed by Lorenz in 1956 (Lorenz, 1956). The Eckart–Young theorem (Eckart &amp; Young, 1936) and quasiharmonic modes (Dove, 1993)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(Jolliffe, 2002, Bengio et al., 2013). The significance of the principal components can be checked with parametric bootstrap for a smaller dataset to help decide how many principal components to keep (Forkman et al., 2019).</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(Spilker Jr et al., 1996)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(Spilker Jr et al., 1996).</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(Davies, 1990, Spilker Jr et al., 1996).</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(Spilker Jr et al., 1996).</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 (Spilker Jr et al., 1996)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(Spilker Jr et al., 1996):</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(Enge, 1994, Spilker Jr et al., 1996). A cosine-like daily dynamic of GPS ionospheric delay values is assumed in the Klobuchar model, with the daily maximum appearing around 14:00 in local time (Klobuchar, 1987).</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(Fan et al., 2008), so this step was also applied to the input data before training the models in this study. There are many ways to standardize data, such as minimum-maximum, normalization by decimal scaling, and Z-score (Mohamad &amp; Usman, 2013). Subtracting the mean and dividing by the variance for each feature are commonly used for SVM models (Fennell et al., 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(Kuhn, 2024b, Hyndman, 2018, createDataPartition developers, 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(Kuhn, 2008, Altman &amp; Bland, 1994a, Altman &amp; Bland, 1994b, Velez et al., 2007, confusionMatrix developers, 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(binom.test developers, 2024, Clopper &amp; Pearson, 1934, Conover, 1999, Hollander, 2013)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(Howell, 2009, GraphPad Software, 2024)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(McHugh, 2012).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(Pontius Jr &amp; Millones, 2011). Galton was the first to use a statistic similar to Cohen’s kappa in 1892 (Galton, 1892, 1892, Smeeton, 1985). Jacob Cohen formally described the kappa coefficient in 1960 in the journal "Educational and Psychological Measurement" (Cohen, 1960).</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(Sim &amp; Wright, 2005)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(Chicco et al., 2021)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(Heidke, 1926, D.C., 1887, 1887).</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(system.time developers, 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(H. Zhang, 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r>
        <w:t xml:space="preserve"> </w:t>
      </w:r>
      <w:r>
        <w:rPr>
          <w:i/>
          <w:iCs/>
        </w:rPr>
        <w:t xml:space="preserve">CI</w:t>
      </w:r>
      <w:r>
        <w:t xml:space="preserve"> </w:t>
      </w:r>
      <w:r>
        <w:t xml:space="preserve">Confidence Interval</w:t>
      </w:r>
      <w:r>
        <w:t xml:space="preserve"> </w:t>
      </w:r>
      <w:r>
        <w:rPr>
          <w:i/>
          <w:iCs/>
        </w:rPr>
        <w:t xml:space="preserve">CNN</w:t>
      </w:r>
      <w:r>
        <w:t xml:space="preserve"> </w:t>
      </w:r>
      <w:r>
        <w:t xml:space="preserve">Convolutional Neural Network</w:t>
      </w:r>
      <w:r>
        <w:t xml:space="preserve"> </w:t>
      </w: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r>
        <w:t xml:space="preserve"> </w:t>
      </w:r>
      <w:r>
        <w:rPr>
          <w:i/>
          <w:iCs/>
        </w:rPr>
        <w:t xml:space="preserve">DP</w:t>
      </w:r>
      <w:r>
        <w:t xml:space="preserve"> </w:t>
      </w:r>
      <w:r>
        <w:t xml:space="preserve">Detection Prevalence</w:t>
      </w:r>
      <w:r>
        <w:t xml:space="preserve"> </w:t>
      </w:r>
      <w:r>
        <w:rPr>
          <w:i/>
          <w:iCs/>
        </w:rPr>
        <w:t xml:space="preserve">DR</w:t>
      </w:r>
      <w:r>
        <w:t xml:space="preserve"> </w:t>
      </w:r>
      <w:r>
        <w:t xml:space="preserve">Detection Rate</w:t>
      </w:r>
      <w:r>
        <w:t xml:space="preserve"> </w:t>
      </w:r>
      <w:r>
        <w:rPr>
          <w:i/>
          <w:iCs/>
        </w:rPr>
        <w:t xml:space="preserve">DT</w:t>
      </w:r>
      <w:r>
        <w:t xml:space="preserve"> </w:t>
      </w:r>
      <w:r>
        <w:t xml:space="preserve">Decision Tree</w:t>
      </w:r>
      <w:r>
        <w:t xml:space="preserve"> </w:t>
      </w: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r>
        <w:t xml:space="preserve"> </w:t>
      </w: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r>
        <w:t xml:space="preserve"> </w:t>
      </w:r>
      <w:r>
        <w:rPr>
          <w:i/>
          <w:iCs/>
        </w:rPr>
        <w:t xml:space="preserve">FN</w:t>
      </w:r>
      <w:r>
        <w:t xml:space="preserve"> </w:t>
      </w:r>
      <w:r>
        <w:t xml:space="preserve">False Negative</w:t>
      </w:r>
      <w:r>
        <w:t xml:space="preserve"> </w:t>
      </w: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r>
        <w:t xml:space="preserve"> </w:t>
      </w:r>
      <w:r>
        <w:rPr>
          <w:i/>
          <w:iCs/>
        </w:rPr>
        <w:t xml:space="preserve">GPS</w:t>
      </w:r>
      <w:r>
        <w:t xml:space="preserve"> </w:t>
      </w:r>
      <w:r>
        <w:t xml:space="preserve">Global Positioning System</w:t>
      </w:r>
      <w:r>
        <w:t xml:space="preserve"> </w:t>
      </w: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r>
        <w:t xml:space="preserve"> </w:t>
      </w:r>
      <w:r>
        <w:rPr>
          <w:i/>
          <w:iCs/>
        </w:rPr>
        <w:t xml:space="preserve">MARS</w:t>
      </w:r>
      <w:r>
        <w:t xml:space="preserve"> </w:t>
      </w:r>
      <w:r>
        <w:t xml:space="preserve">Multivariate Adaptive Regression Splines</w:t>
      </w:r>
      <w:r>
        <w:t xml:space="preserve"> </w:t>
      </w: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r>
        <w:t xml:space="preserve"> </w:t>
      </w:r>
      <w:r>
        <w:rPr>
          <w:i/>
          <w:iCs/>
        </w:rPr>
        <w:t xml:space="preserve">NB</w:t>
      </w:r>
      <w:r>
        <w:t xml:space="preserve"> </w:t>
      </w:r>
      <w:r>
        <w:t xml:space="preserve">Naive Bayes</w:t>
      </w:r>
      <w:r>
        <w:t xml:space="preserve"> </w:t>
      </w:r>
      <w:r>
        <w:rPr>
          <w:i/>
          <w:iCs/>
        </w:rPr>
        <w:t xml:space="preserve">NDA</w:t>
      </w:r>
      <w:r>
        <w:t xml:space="preserve"> </w:t>
      </w:r>
      <w:r>
        <w:t xml:space="preserve">Normal Discriminant Analysis</w:t>
      </w:r>
      <w:r>
        <w:t xml:space="preserve"> </w:t>
      </w:r>
      <w:r>
        <w:rPr>
          <w:i/>
          <w:iCs/>
        </w:rPr>
        <w:t xml:space="preserve">NIR</w:t>
      </w:r>
      <w:r>
        <w:t xml:space="preserve"> </w:t>
      </w:r>
      <w:r>
        <w:t xml:space="preserve">No Information Rate</w:t>
      </w:r>
      <w:r>
        <w:t xml:space="preserve"> </w:t>
      </w:r>
      <w:r>
        <w:rPr>
          <w:i/>
          <w:iCs/>
        </w:rPr>
        <w:t xml:space="preserve">NN</w:t>
      </w:r>
      <w:r>
        <w:t xml:space="preserve"> </w:t>
      </w:r>
      <w:r>
        <w:t xml:space="preserve">Neural Network</w:t>
      </w:r>
      <w:r>
        <w:t xml:space="preserve"> </w:t>
      </w: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r>
        <w:t xml:space="preserve"> </w:t>
      </w:r>
      <w:r>
        <w:rPr>
          <w:i/>
          <w:iCs/>
        </w:rPr>
        <w:t xml:space="preserve">PLS</w:t>
      </w:r>
      <w:r>
        <w:t xml:space="preserve"> </w:t>
      </w:r>
      <w:r>
        <w:t xml:space="preserve">Partial Least Squares</w:t>
      </w:r>
      <w:r>
        <w:t xml:space="preserve"> </w:t>
      </w:r>
      <w:r>
        <w:rPr>
          <w:i/>
          <w:iCs/>
        </w:rPr>
        <w:t xml:space="preserve">PLS-DA</w:t>
      </w:r>
      <w:r>
        <w:t xml:space="preserve"> </w:t>
      </w:r>
      <w:r>
        <w:t xml:space="preserve">Partial Least Squares Discriminant Analysis</w:t>
      </w:r>
      <w:r>
        <w:t xml:space="preserve"> </w:t>
      </w:r>
      <w:r>
        <w:rPr>
          <w:i/>
          <w:iCs/>
        </w:rPr>
        <w:t xml:space="preserve">PNT</w:t>
      </w:r>
      <w:r>
        <w:t xml:space="preserve"> </w:t>
      </w:r>
      <w:r>
        <w:t xml:space="preserve">Positioning, Navigation, and Timing</w:t>
      </w:r>
      <w:r>
        <w:t xml:space="preserve"> </w:t>
      </w:r>
      <w:r>
        <w:rPr>
          <w:i/>
          <w:iCs/>
        </w:rPr>
        <w:t xml:space="preserve">POD</w:t>
      </w:r>
      <w:r>
        <w:t xml:space="preserve"> </w:t>
      </w:r>
      <w:r>
        <w:t xml:space="preserve">Proper Orthogonal Decomposition</w:t>
      </w:r>
      <w:r>
        <w:t xml:space="preserve"> </w:t>
      </w: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r>
        <w:t xml:space="preserve"> </w:t>
      </w: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r>
        <w:t xml:space="preserve"> </w:t>
      </w:r>
      <w:r>
        <w:rPr>
          <w:i/>
          <w:iCs/>
        </w:rPr>
        <w:t xml:space="preserve">SVC</w:t>
      </w:r>
      <w:r>
        <w:t xml:space="preserve"> </w:t>
      </w:r>
      <w:r>
        <w:t xml:space="preserve">Support Vector Clustering</w:t>
      </w:r>
      <w:r>
        <w:t xml:space="preserve"> </w:t>
      </w:r>
      <w:r>
        <w:rPr>
          <w:i/>
          <w:iCs/>
        </w:rPr>
        <w:t xml:space="preserve">SVD</w:t>
      </w:r>
      <w:r>
        <w:t xml:space="preserve"> </w:t>
      </w:r>
      <w:r>
        <w:t xml:space="preserve">Singular Value Decomposition</w:t>
      </w:r>
      <w:r>
        <w:t xml:space="preserve"> </w:t>
      </w:r>
      <w:r>
        <w:rPr>
          <w:i/>
          <w:iCs/>
        </w:rPr>
        <w:t xml:space="preserve">SVM</w:t>
      </w:r>
      <w:r>
        <w:t xml:space="preserve"> </w:t>
      </w:r>
      <w:r>
        <w:t xml:space="preserve">Support Vector Machine</w:t>
      </w:r>
      <w:r>
        <w:t xml:space="preserve"> </w:t>
      </w: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r>
        <w:t xml:space="preserve"> </w:t>
      </w:r>
      <w:r>
        <w:rPr>
          <w:i/>
          <w:iCs/>
        </w:rPr>
        <w:t xml:space="preserve">TEC</w:t>
      </w:r>
      <w:r>
        <w:t xml:space="preserve"> </w:t>
      </w:r>
      <w:r>
        <w:t xml:space="preserve">Total Electron Content</w:t>
      </w:r>
      <w:r>
        <w:t xml:space="preserve"> </w:t>
      </w:r>
      <w:r>
        <w:rPr>
          <w:i/>
          <w:iCs/>
        </w:rPr>
        <w:t xml:space="preserve">TN</w:t>
      </w:r>
      <w:r>
        <w:t xml:space="preserve"> </w:t>
      </w:r>
      <w:r>
        <w:t xml:space="preserve">True Negative</w:t>
      </w:r>
      <w:r>
        <w:t xml:space="preserve"> </w:t>
      </w:r>
      <w:r>
        <w:rPr>
          <w:i/>
          <w:iCs/>
        </w:rPr>
        <w:t xml:space="preserve">TNR</w:t>
      </w:r>
      <w:r>
        <w:t xml:space="preserve"> </w:t>
      </w:r>
      <w:r>
        <w:t xml:space="preserve">True Negative Rate</w:t>
      </w:r>
      <w:r>
        <w:t xml:space="preserve"> </w:t>
      </w:r>
      <w:r>
        <w:rPr>
          <w:i/>
          <w:iCs/>
        </w:rPr>
        <w:t xml:space="preserve">TP</w:t>
      </w:r>
      <w:r>
        <w:t xml:space="preserve"> </w:t>
      </w:r>
      <w:r>
        <w:t xml:space="preserve">True Positive</w:t>
      </w:r>
      <w:r>
        <w:t xml:space="preserve"> </w:t>
      </w: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2024-10-16T16:59:06Z</dcterms:created>
  <dcterms:modified xsi:type="dcterms:W3CDTF">2024-10-16T16:59:06Z</dcterms:modified>
</cp:coreProperties>
</file>

<file path=docProps/custom.xml><?xml version="1.0" encoding="utf-8"?>
<Properties xmlns="http://schemas.openxmlformats.org/officeDocument/2006/custom-properties" xmlns:vt="http://schemas.openxmlformats.org/officeDocument/2006/docPropsVTypes"/>
</file>