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df" ContentType="application/pdf"/>
  <Override PartName="/word/media/rId4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(Filjar, 2022). Maintaining the GNSS PNT quality has appeared fundamental for the sustainable development of modern economy and society (Filjar, 2022).</w:t>
      </w:r>
    </w:p>
    <w:p>
      <w:pPr>
        <w:pStyle w:val="BodyText"/>
      </w:pPr>
      <w:r>
        <w:t xml:space="preserve">Overcoming the shortcomings and vulnerabilities of GNSS PNT is a scientific challenge, and the need of a wide variety of scientists, developers, operators, regulators, and users of GNSS-based systems and services (Filjar et al., 2024, Filjar, 2022).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(Davies, 1990, Filić &amp; Filjar, 2018).</w:t>
      </w:r>
    </w:p>
    <w:p>
      <w:pPr>
        <w:pStyle w:val="BodyText"/>
      </w:pPr>
      <w:r>
        <w:t xml:space="preserve">This phenomenon especially affects most currently used GNSS receivers, which work as single-frequency receivers exposed to GNSS ionospheric effects (Spilker Jr et al., 1996, Filjar, 2022). Driven by powerful and random flows of energy and particles from the Sun (space weather conditions), the ionospheric conditions define the properties of GNSS signal propagation through the Earth’s atmosphere and the resulting ionospheric delay (Davies, 1990, Oxley, 2017, Filić &amp; Filjar, 2018). The GNSS ionospheric delay causes errors in GNSS PNT algorithm deployment, designed to produce position, velocity, and time estimates for a GNSS receiver (Spilker Jr et al., 1996, Filić &amp; Filjar, 2018).</w:t>
      </w:r>
    </w:p>
    <w:p>
      <w:pPr>
        <w:pStyle w:val="BodyText"/>
      </w:pPr>
      <w:r>
        <w:t xml:space="preserve">The ionosphere affects GNSS satellite signals for position estimation by introducing signal propagation delay (Spilker Jr et al., 1996, Filić &amp; Filjar, 2018). The GNSS ionospheric delay is a stochastic variable, whose value is determined by complex physical processes of space weather (Filić &amp; Filjar, 2018, Filjar, 2022).</w:t>
      </w:r>
    </w:p>
    <w:p>
      <w:pPr>
        <w:pStyle w:val="BodyText"/>
      </w:pPr>
      <w:r>
        <w:t xml:space="preserve">How space weather affects GNSS PNT performance was explained using the Space weather – GNSS PNT performance coupling model (Filić &amp; Filjar, 2018), as depicted in Table </w:t>
      </w:r>
      <w:hyperlink w:anchor="tab:SpaceWeather">
        <w:r>
          <w:rPr>
            <w:rStyle w:val="Hyperlink"/>
          </w:rPr>
          <w:t xml:space="preserve">1</w:t>
        </w:r>
      </w:hyperlink>
      <w:r>
        <w:t xml:space="preserve">.</w:t>
      </w:r>
    </w:p>
    <w:bookmarkStart w:id="20" w:name="tab:SpaceWeather"/>
    <w:p>
      <w:pPr>
        <w:pStyle w:val="TableCaption"/>
      </w:pPr>
      <w:r>
        <w:t xml:space="preserve">The Space weather – GNSS PNT performance coupling model, after (Filić &amp; Filjar, 2018).</w:t>
      </w:r>
    </w:p>
    <w:tbl>
      <w:tblPr>
        <w:tblStyle w:val="Table"/>
        <w:tblW w:type="auto" w:w="0"/>
        <w:tblLook w:firstRow="0" w:lastRow="0" w:firstColumn="0" w:lastColumn="0" w:noHBand="0" w:noVBand="0" w:val="0000"/>
        <w:tblCaption w:val="The Space weather – GNSS PNT performance coupling model, after (Filić &amp; Filjar, 2018)."/>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(Filić &amp; Filjar, 2018, Filić &amp; Filjar, 2018).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(Filić &amp; Filjar, 2018, Davies, 1990),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(Seemala, 2023).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(Filjar, 2022).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Filić &amp; Filjar, 2018).</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(Filić &amp; Filjar, 2018).</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Filić &amp; Filjar, 2018). The standard ionospheric correction models are global, and insufficiently flexible to update to mitigate GNSS ionospheric delay to satisfy rising demands on GNSS PNT performance (Filjar et al., 2024, Filić &amp; Filjar, 2018). The development of regional and local models attempts to solve the problem of GNSS PNT sustainable performance in various ionospheric conditions (Sikirica et al., 2021). In recent developments, our team has proposed the Ambient-Aware Application-Aligned ((AA)2) PNT to take into account the actual ionospheric and geomagnetic conditions near a mobile unit (a GNSS receiver) (Filjar, 2022, Filić &amp; Filjar, 2018, Filjar et al., 2024). Direct measurements of the immediate geomagnetic and ionospheric condition variables may be supplied to a machine learning-based adapted GNSS ionospheric correction model, thus solving the single-frequency GNSS problem (Filjar, 2022). Previous research has identified predictors and target variables (descriptors of geomagnetic, ionospheric, and GNSS PNT conditions) (Filić &amp; Filjar, 2018, Natras et al., 2022, Natras et al., 2023). Current space weather severity scales, such as the one provided by National Oceanic and Atmospheric Administration (NOAA) (NOAA2024eSpace),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(Filjar, 2022, Filjar et al., 2024).</w:t>
      </w:r>
    </w:p>
    <w:p>
      <w:pPr>
        <w:pStyle w:val="BodyText"/>
      </w:pPr>
      <w:r>
        <w:t xml:space="preserve">A methodology for a machine learning-based classification of ionospheric conditions based entirely on observations of geomagnetic indices is described in this study. The proposed method is inspired by previous lightweight machine-learning techniques (Filjar et al., 2020) for classifying sensor readings.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(INTERMAGNET &amp; others, 2022)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1"/>
    <w:bookmarkStart w:id="56"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(Seemala, 2023). The INTERMAGNET (INTERMAGNET &amp; others, 2022)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rPr>
            <m:sty m:val="p"/>
          </m:rPr>
          <m:t>−</m:t>
        </m:r>
        <m:r>
          <m:t>12.69</m:t>
        </m:r>
      </m:oMath>
      <w:r>
        <w:t xml:space="preserve"> </w:t>
      </w:r>
      <w:r>
        <w:t xml:space="preserve">degrees latitude and</w:t>
      </w:r>
      <w:r>
        <w:t xml:space="preserve"> </w:t>
      </w:r>
      <m:oMath>
        <m:r>
          <m:t>132.47</m:t>
        </m:r>
      </m:oMath>
      <w:r>
        <w:t xml:space="preserve"> </w:t>
      </w:r>
      <w:r>
        <w:t xml:space="preserve">degrees longitude near Darwin, Nothern Territory, Australia. The two datasets are merged based on location, year, month, day, and time of day in hours.</w:t>
      </w:r>
    </w:p>
    <w:bookmarkStart w:id="28" w:name="method"/>
    <w:p>
      <w:pPr>
        <w:pStyle w:val="Heading2"/>
      </w:pPr>
      <w:r>
        <w:t xml:space="preserve">Method</w:t>
      </w:r>
    </w:p>
    <w:p>
      <w:pPr>
        <w:pStyle w:val="FirstParagraph"/>
      </w:pPr>
      <w:r>
        <w:t xml:space="preserve">The models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w:t>
      </w:r>
    </w:p>
    <w:p>
      <w:pPr>
        <w:pStyle w:val="BodyText"/>
      </w:pPr>
      <w:r>
        <w:t xml:space="preserve">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2013, Kuhn, 2024a, RCoreTeam, 2024).</w:t>
      </w:r>
    </w:p>
    <w:bookmarkStart w:id="22"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that analyzes data for classification, regression (Cortes &amp; Vapnik, 1995), or outlier detection (scikit-learn developers, 2023). SVM models are also effective for non-linear classification using the hyperplane kernel trick (Boser et al., 1992, Aizerman et al., 1964). Intuitively, a good separation is achieved by the hyperplane with the greatest distance to the nearest point in the training data belonging to any class (Hastie, Rosset, et al., 2009). Support Vector Clustering (SVC) (Ben-Hur et al., 2001) is a related method for clustering unlabeled data.</w:t>
      </w:r>
    </w:p>
    <w:p>
      <w:pPr>
        <w:pStyle w:val="BodyText"/>
      </w:pPr>
      <w:r>
        <w:t xml:space="preserve">Meyer, Leisch, and Hornik compared SVM models with other classifiers (Meyer et al., 2003). However, it is unclear whether SVM predictions perform better than other linear models, such as logistic, and linear regression.</w:t>
      </w:r>
    </w:p>
    <w:p>
      <w:pPr>
        <w:pStyle w:val="BodyText"/>
      </w:pPr>
      <w:r>
        <w:t xml:space="preserve">A multidimensional feature space increases the generalization error of SVM models, so additional samples are needed to enhance performance (Jin &amp; Wang, 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p>
      <w:pPr>
        <w:pStyle w:val="BodyText"/>
      </w:pPr>
      <w:r>
        <w:t xml:space="preserve">The performance of SVM depends on the kernel probability density function, its parameters, and the "soft" margin parameter</w:t>
      </w:r>
      <w:r>
        <w:t xml:space="preserve"> </w:t>
      </w:r>
      <m:oMath>
        <m:r>
          <m:t>λ</m:t>
        </m:r>
      </m:oMath>
      <w:r>
        <w:t xml:space="preserve"> </w:t>
      </w:r>
      <w:r>
        <w:t xml:space="preserve">chosen in cross-validation to train the final classification model (Hsu et al., 2003).</w:t>
      </w:r>
    </w:p>
    <w:bookmarkEnd w:id="22"/>
    <w:bookmarkStart w:id="23" w:name="decision-tree"/>
    <w:p>
      <w:pPr>
        <w:pStyle w:val="Heading3"/>
      </w:pPr>
      <w:r>
        <w:t xml:space="preserve">Decision Tree</w:t>
      </w:r>
    </w:p>
    <w:p>
      <w:pPr>
        <w:pStyle w:val="FirstParagraph"/>
      </w:pPr>
      <w:r>
        <w:t xml:space="preserve">Decision Tree (DT) models are used for supervised learning in statistics, data mining (Rokach &amp; Maimon, 2014), and machine learning. Classification trees use a discrete target variable, while regression trees can handle continuous values (Studer et al., 2011). DT models are popular due to their comprehensibility and simplicity (Wu et al., 2008).</w:t>
      </w:r>
    </w:p>
    <w:p>
      <w:pPr>
        <w:pStyle w:val="BodyText"/>
      </w:pPr>
      <w:r>
        <w:t xml:space="preserve">A tree is recursively partitioned by dividing the original set, or root node, into subsets that form descendants, or successors, using classification rules based on features (Shalev-Shwartz &amp; Ben-David, 2014). This process of Top-Down Induction of Decision Trees (TDIDT) (Quinlan, 1986) is an example of a greedy algorithm that is the most common strategy for learning DT models from data (Rokach &amp; Maimon, 2005).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3"/>
    <w:bookmarkStart w:id="24" w:name="naive-bayes"/>
    <w:p>
      <w:pPr>
        <w:pStyle w:val="Heading3"/>
      </w:pPr>
      <w:r>
        <w:t xml:space="preserve">Naive Bayes</w:t>
      </w:r>
    </w:p>
    <w:p>
      <w:pPr>
        <w:pStyle w:val="FirstParagraph"/>
      </w:pPr>
      <w:r>
        <w:t xml:space="preserve">In statistics, Naive Bayes (NB) models, simple Bayes, or independent Bayes (Hand &amp; Yu, 2001) classifiers are a family of linear "probabilistic classifiers" that assume that, given a target class, the features are conditionally independent. These classifiers are among the simplest Bayesian network models (McCallum, 2011), but a NB classifier model is not necessarily a Bayesian method. Maximum likelihood training evaluates a closed-form expression (Russell &amp; Norvig, 2016) in linear time instead of using iterative approximation.</w:t>
      </w:r>
    </w:p>
    <w:p>
      <w:pPr>
        <w:pStyle w:val="BodyText"/>
      </w:pPr>
      <w:r>
        <w:t xml:space="preserve">Despite their simplicity, NB classifier models have performed well in real-world situations (Metsis et al., 2006). However, a comprehensive comparison in 2006 showed that Bayesian classification performed worse than boosted trees or Random Forest (RF) (Caruana &amp; Niculescu-Mizil, 2006). An advantage of NB over other models is a smaller amount of training data (John &amp; Langley, 2013, Mccallum &amp; Nigam, 2001).</w:t>
      </w:r>
    </w:p>
    <w:p>
      <w:pPr>
        <w:pStyle w:val="BodyText"/>
      </w:pPr>
      <w:r>
        <w:t xml:space="preserve">In the abstract, NB models assign conditional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for an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encoding</w:t>
      </w:r>
      <w:r>
        <w:t xml:space="preserve"> </w:t>
      </w:r>
      <m:oMath>
        <m:r>
          <m:t>n</m:t>
        </m:r>
      </m:oMath>
      <w:r>
        <w:t xml:space="preserve"> </w:t>
      </w:r>
      <w:r>
        <w:t xml:space="preserve">features (Murty &amp; Devi, 2011). The model can be reformulated using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(MIT, 2017, Brahme, 2014).</w:t>
      </w:r>
    </w:p>
    <w:p>
      <w:pPr>
        <w:pStyle w:val="BodyText"/>
      </w:pPr>
      <w:r>
        <w:t xml:space="preserve">Shallow NN models typically contain only a few hidden layers for processing between the input layer that receives the data and the final layer that produces the output (Olden &amp; Jackson, 2002, Özesmi &amp; Özesmi, 1999). A network with at least two hidden layers (Bishop, 2006) is a deep NN model.</w:t>
      </w:r>
    </w:p>
    <w:p>
      <w:pPr>
        <w:pStyle w:val="BodyText"/>
      </w:pPr>
      <w:r>
        <w:t xml:space="preserve">Gradient-based methods such as backpropagation estimate ANN parameters (Vapnik, 2013) to minimize the difference or empirical risk between the output and target labels, expressed in a loss function (Goodfellow, 2016). The hyperparameters may also be modified to suit the problem (Probst et al., 2019) during an extensive tuning process, like the one used in this study.</w:t>
      </w:r>
    </w:p>
    <w:p>
      <w:pPr>
        <w:pStyle w:val="BodyText"/>
      </w:pPr>
      <w:r>
        <w:t xml:space="preserve">Principal Component Analysis (PCA) (Pearson, 1901, Stewart, 2019) is a linear dimensionality reduction technique in exploratory data analysis, visualization (Jolliffe &amp; Cadima, 2016),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(Ripley, 2007) uses PCA in preprocessing.</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(Wold et al., 2001, Abdi, 2010),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(projections) form an orthogonal basis in PLS regression, and the loadings are chosen to achieve this. In PCA orthogonality is not imposed on scores (Lindgren et al., 1993) but onto loadings instead (De Jong &amp; Ter Braak, 1994, Dayal &amp; MacGregor, 1997). Many versions of PLS exist (De Jong, 1993, Rännar et al., 1994) for estimating the factor and loading matrices, such as the PLS1 algorithm (Takane &amp; Loisel, 2016, Höskuldsson, 1988).</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(Fisher, 1936, McLachlan, 2005) based on a mixture of non-parametric linear regression models (Hastie et al., 1995), such as Multivariate Adaptive Regression Splines (MARS) and Linear Discriminant Analysis (LDA).</w:t>
      </w:r>
    </w:p>
    <w:p>
      <w:pPr>
        <w:pStyle w:val="BodyText"/>
      </w:pPr>
      <w:r>
        <w:t xml:space="preserve">Many predictors can be used at once in FDA (Hastie, Tibshirani, et al., 2009), and variable interactions are automatically noted (Hastie et al., 1994). FDA is complex but execution time and computational load are adequate (Reynès et al., 2006). The algorithm is not largely affected by outliers (Phillips et al., 2017).</w:t>
      </w:r>
    </w:p>
    <w:p>
      <w:pPr>
        <w:pStyle w:val="BodyText"/>
      </w:pPr>
      <w:r>
        <w:t xml:space="preserve">Changed settings significantly alter FDA (Hallgren et al., 2019), and estimation might fail if predictors are correlated. FDA is prone to overfitting (Thuiller et al., 2016), and challenging to comprehend (Quillfeldt et al., 2017). Feature normality and equal group covariances are assumed (Z. Zhang et al., 2019, Wetcher-Hendricks, 2011).</w:t>
      </w:r>
    </w:p>
    <w:p>
      <w:pPr>
        <w:pStyle w:val="BodyText"/>
      </w:pPr>
      <w:r>
        <w:t xml:space="preserve">LDA, Normal Discriminant Analysis (NDA), or discriminant function analysis (Cohen et al., 2013) is a generalization of Fisher’s linear discriminant defined in 1936 (Fisher, 1936, Garson, 2008, Rao, 1948). The results of LDA may be utilized directly, as demonstrated in this experiment, but they are more often used to reduce dimensionality (Hansen, 2005).</w:t>
      </w:r>
    </w:p>
    <w:bookmarkEnd w:id="27"/>
    <w:bookmarkEnd w:id="28"/>
    <w:bookmarkStart w:id="53"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(Klobuchar, 1986, Zolesi &amp; Cander, 2014). Changes in the ionosphere include the density distribution,</w:t>
      </w:r>
      <w:r>
        <w:t xml:space="preserve"> </w:t>
      </w:r>
      <m:oMath>
        <m:r>
          <m:t>T</m:t>
        </m:r>
        <m:r>
          <m:t>E</m:t>
        </m:r>
        <m:r>
          <m:t>C</m:t>
        </m:r>
      </m:oMath>
      <w:r>
        <w:t xml:space="preserve">, and the current balance (komjathy2023global).</w:t>
      </w:r>
    </w:p>
    <w:p>
      <w:pPr>
        <w:pStyle w:val="BodyText"/>
      </w:pPr>
      <w:r>
        <w:t xml:space="preserve">Geomagnetic storms cause signal deterioration by affecting Global Electric Current (GEC) variability (NOAA2024aRadioCommunications). The ionosphere may show changes related to location, geomagnetic and solar activity, sunspots, local time (Kotz et al., 2005), seasonality, thunderstorms (Vellinov et al., 1992), nuclear experiments, earthquakes (Liu et al., 2014), and other phenomena.</w:t>
      </w:r>
    </w:p>
    <w:p>
      <w:pPr>
        <w:pStyle w:val="BodyText"/>
      </w:pPr>
      <w:r>
        <w:t xml:space="preserve">Many parameters can describe the Earth’s geomagnetic field (Ulukavak &amp; Yalcinkaya, 2018). This study focuses on parameters describing disturbances, most importantly</w:t>
      </w:r>
      <w:r>
        <w:t xml:space="preserve"> </w:t>
      </w:r>
      <m:oMath>
        <m:sSub>
          <m:e>
            <m:r>
              <m:t>a</m:t>
            </m:r>
          </m:e>
          <m:sub>
            <m:r>
              <m:t>p</m:t>
            </m:r>
          </m:sub>
        </m:sSub>
      </m:oMath>
      <w:r>
        <w:t xml:space="preserve"> </w:t>
      </w:r>
      <w:r>
        <w:t xml:space="preserve">indices calculated from</w:t>
      </w:r>
      <w:r>
        <w:t xml:space="preserve"> </w:t>
      </w:r>
      <m:oMath>
        <m:sSub>
          <m:e>
            <m:r>
              <m:t>K</m:t>
            </m:r>
          </m:e>
          <m:sub>
            <m:r>
              <m:t>p</m:t>
            </m:r>
          </m:sub>
        </m:sSub>
      </m:oMath>
      <w:r>
        <w:t xml:space="preserve"> </w:t>
      </w:r>
      <w:r>
        <w:t xml:space="preserve">and</w:t>
      </w:r>
      <w:r>
        <w:t xml:space="preserve"> </w:t>
      </w:r>
      <m:oMath>
        <m:r>
          <m:t>K</m:t>
        </m:r>
      </m:oMath>
      <w:r>
        <w:t xml:space="preserve"> </w:t>
      </w:r>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w:t>
      </w:r>
    </w:p>
    <w:p>
      <w:pPr>
        <w:pStyle w:val="BodyText"/>
      </w:pPr>
      <w:r>
        <w:t xml:space="preserve">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29"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(Schwenn, 2001, Melnikov, 1990).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(Android developers, 2024),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29"/>
    <w:bookmarkStart w:id="31"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 (De Canck, 2007),</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w:t>
      </w:r>
    </w:p>
    <w:p>
      <w:pPr>
        <w:pStyle w:val="BodyText"/>
      </w:pPr>
      <w:r>
        <w:t xml:space="preserve">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p>
      <w:pPr>
        <w:pStyle w:val="BodyText"/>
      </w:pPr>
      <w:r>
        <w:t xml:space="preserve">The threshold valid in Boulder, Colorado (NOAA2024bKindex) for transforming the maximum</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fluctuation measured in</w:t>
      </w:r>
      <w:r>
        <w:t xml:space="preserve"> </w:t>
      </w:r>
      <m:oMath>
        <m:r>
          <m:t>n</m:t>
        </m:r>
        <m:r>
          <m:t>T</m:t>
        </m:r>
      </m:oMath>
      <w:r>
        <w:t xml:space="preserve"> </w:t>
      </w:r>
      <w:r>
        <w:t xml:space="preserve">using a magnetometer into a</w:t>
      </w:r>
      <w:r>
        <w:t xml:space="preserve"> </w:t>
      </w:r>
      <m:oMath>
        <m:r>
          <m:t>K</m:t>
        </m:r>
      </m:oMath>
      <w:r>
        <w:t xml:space="preserve">-index value is given in Table </w:t>
      </w:r>
      <w:hyperlink w:anchor="tab:K">
        <w:r>
          <w:rPr>
            <w:rStyle w:val="Hyperlink"/>
          </w:rPr>
          <w:t xml:space="preserve">2</w:t>
        </w:r>
      </w:hyperlink>
      <w:r>
        <w:t xml:space="preserve">.</w:t>
      </w:r>
    </w:p>
    <w:bookmarkStart w:id="30" w:name="tab:K"/>
    <w:p>
      <w:pPr>
        <w:pStyle w:val="TableCaption"/>
      </w:pPr>
      <w:r>
        <w:t xml:space="preserve">The relationship between the</w:t>
      </w:r>
      <w:r>
        <w:t xml:space="preserve"> </w:t>
      </w:r>
      <m:oMath>
        <m:r>
          <m:t>K</m:t>
        </m:r>
      </m:oMath>
      <w:r>
        <w:t xml:space="preserve">-index and magnetometer observations of</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in</w:t>
      </w:r>
      <w:r>
        <w:t xml:space="preserve"> </w:t>
      </w:r>
      <m:oMath>
        <m:r>
          <m:t>n</m:t>
        </m:r>
        <m:r>
          <m:t>T</m:t>
        </m:r>
      </m:oMath>
      <w:r>
        <w:t xml:space="preserve"> </w:t>
      </w:r>
      <w:r>
        <w:t xml:space="preserve">in Boulder, Colorado.</w:t>
      </w:r>
    </w:p>
    <w:tbl>
      <w:tblPr>
        <w:tblStyle w:val="Table"/>
        <w:tblW w:type="auto" w:w="0"/>
        <w:tblLook w:firstRow="1" w:lastRow="0" w:firstColumn="0" w:lastColumn="0" w:noHBand="0" w:noVBand="0" w:val="0020"/>
        <w:tblCaption w:val="The relationship between the K-index and magnetometer observations of B_{x} and B_{y} in nT in Boulder, Colorado."/>
      </w:tblPr>
      <w:tblGrid>
        <w:gridCol w:w="1320"/>
        <w:gridCol w:w="1320"/>
        <w:gridCol w:w="1320"/>
        <w:gridCol w:w="1320"/>
        <w:gridCol w:w="1320"/>
        <w:gridCol w:w="13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0</m:t>
              </m:r>
            </m:oMath>
            <w:r>
              <w:t xml:space="preserve"> </w:t>
            </w:r>
            <w:r>
              <w:t xml:space="preserve">-</w:t>
            </w:r>
            <w:r>
              <w:t xml:space="preserve"> </w:t>
            </w:r>
            <m:oMath>
              <m:r>
                <m:t>5</m:t>
              </m:r>
            </m:oMath>
          </w:p>
        </w:tc>
        <w:tc>
          <w:tcPr/>
          <w:p>
            <w:pPr>
              <w:pStyle w:val="Compact"/>
              <w:jc w:val="center"/>
            </w:pPr>
            <m:oMath>
              <m:r>
                <m:t>5</m:t>
              </m:r>
            </m:oMath>
            <w:r>
              <w:t xml:space="preserve"> </w:t>
            </w:r>
            <w:r>
              <w:t xml:space="preserve">-</w:t>
            </w:r>
            <w:r>
              <w:t xml:space="preserve"> </w:t>
            </w:r>
            <m:oMath>
              <m:r>
                <m:t>10</m:t>
              </m:r>
            </m:oMath>
          </w:p>
        </w:tc>
        <w:tc>
          <w:tcPr/>
          <w:p>
            <w:pPr>
              <w:pStyle w:val="Compact"/>
              <w:jc w:val="center"/>
            </w:pPr>
            <m:oMath>
              <m:r>
                <m:t>10</m:t>
              </m:r>
            </m:oMath>
            <w:r>
              <w:t xml:space="preserve"> </w:t>
            </w:r>
            <w:r>
              <w:t xml:space="preserve">-</w:t>
            </w:r>
            <w:r>
              <w:t xml:space="preserve"> </w:t>
            </w:r>
            <m:oMath>
              <m:r>
                <m:t>20</m:t>
              </m:r>
            </m:oMath>
          </w:p>
        </w:tc>
        <w:tc>
          <w:tcPr/>
          <w:p>
            <w:pPr>
              <w:pStyle w:val="Compact"/>
              <w:jc w:val="center"/>
            </w:pPr>
            <m:oMath>
              <m:r>
                <m:t>20</m:t>
              </m:r>
            </m:oMath>
            <w:r>
              <w:t xml:space="preserve"> </w:t>
            </w:r>
            <w:r>
              <w:t xml:space="preserve">-</w:t>
            </w:r>
            <w:r>
              <w:t xml:space="preserve"> </w:t>
            </w:r>
            <m:oMath>
              <m:r>
                <m:t>40</m:t>
              </m:r>
            </m:oMath>
          </w:p>
        </w:tc>
        <w:tc>
          <w:tcPr/>
          <w:p>
            <w:pPr>
              <w:pStyle w:val="Compact"/>
              <w:jc w:val="center"/>
            </w:pPr>
            <m:oMath>
              <m:r>
                <m:t>40</m:t>
              </m:r>
            </m:oMath>
            <w:r>
              <w:t xml:space="preserve"> </w:t>
            </w:r>
            <w:r>
              <w:t xml:space="preserve">-</w:t>
            </w:r>
            <w:r>
              <w:t xml:space="preserve"> </w:t>
            </w:r>
            <m:oMath>
              <m:r>
                <m:t>70</m:t>
              </m:r>
            </m:oMath>
          </w:p>
        </w:tc>
      </w:tr>
      <w:tr>
        <w:tc>
          <w:tcPr/>
          <w:p>
            <w:pPr>
              <w:pStyle w:val="Compact"/>
              <w:jc w:val="center"/>
            </w:pPr>
            <m:oMath>
              <m:r>
                <m:t>K</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70</m:t>
              </m:r>
            </m:oMath>
            <w:r>
              <w:t xml:space="preserve"> </w:t>
            </w:r>
            <w:r>
              <w:t xml:space="preserve">-</w:t>
            </w:r>
            <w:r>
              <w:t xml:space="preserve"> </w:t>
            </w:r>
            <m:oMath>
              <m:r>
                <m:t>120</m:t>
              </m:r>
            </m:oMath>
          </w:p>
        </w:tc>
        <w:tc>
          <w:tcPr/>
          <w:p>
            <w:pPr>
              <w:pStyle w:val="Compact"/>
              <w:jc w:val="center"/>
            </w:pPr>
            <m:oMath>
              <m:r>
                <m:t>120</m:t>
              </m:r>
            </m:oMath>
            <w:r>
              <w:t xml:space="preserve"> </w:t>
            </w:r>
            <w:r>
              <w:t xml:space="preserve">-</w:t>
            </w:r>
            <w:r>
              <w:t xml:space="preserve"> </w:t>
            </w:r>
            <m:oMath>
              <m:r>
                <m:t>200</m:t>
              </m:r>
            </m:oMath>
          </w:p>
        </w:tc>
        <w:tc>
          <w:tcPr/>
          <w:p>
            <w:pPr>
              <w:pStyle w:val="Compact"/>
              <w:jc w:val="center"/>
            </w:pPr>
            <m:oMath>
              <m:r>
                <m:t>200</m:t>
              </m:r>
            </m:oMath>
            <w:r>
              <w:t xml:space="preserve"> </w:t>
            </w:r>
            <w:r>
              <w:t xml:space="preserve">-</w:t>
            </w:r>
            <w:r>
              <w:t xml:space="preserve"> </w:t>
            </w:r>
            <m:oMath>
              <m:r>
                <m:t>330</m:t>
              </m:r>
            </m:oMath>
          </w:p>
        </w:tc>
        <w:tc>
          <w:tcPr/>
          <w:p>
            <w:pPr>
              <w:pStyle w:val="Compact"/>
              <w:jc w:val="center"/>
            </w:pPr>
            <m:oMath>
              <m:r>
                <m:t>330</m:t>
              </m:r>
            </m:oMath>
            <w:r>
              <w:t xml:space="preserve"> </w:t>
            </w:r>
            <w:r>
              <w:t xml:space="preserve">-</w:t>
            </w:r>
            <w:r>
              <w:t xml:space="preserve"> </w:t>
            </w:r>
            <m:oMath>
              <m:r>
                <m:t>500</m:t>
              </m:r>
            </m:oMath>
          </w:p>
        </w:tc>
        <w:tc>
          <w:tcPr/>
          <w:p>
            <w:pPr>
              <w:pStyle w:val="Compact"/>
              <w:jc w:val="center"/>
            </w:pPr>
            <m:oMath>
              <m:r>
                <m:rPr>
                  <m:sty m:val="p"/>
                </m:rPr>
                <m:t>&gt;</m:t>
              </m:r>
              <m:r>
                <m:t>500</m:t>
              </m:r>
            </m:oMath>
          </w:p>
        </w:tc>
      </w:tr>
    </w:tbl>
    <w:bookmarkEnd w:id="30"/>
    <w:bookmarkEnd w:id="31"/>
    <w:bookmarkStart w:id="33"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(Matzka, 2024) is derived from</w:t>
      </w:r>
      <w:r>
        <w:t xml:space="preserve"> </w:t>
      </w:r>
      <m:oMath>
        <m:r>
          <m:t>3</m:t>
        </m:r>
      </m:oMath>
      <w:r>
        <w:t xml:space="preserve">-hour-based</w:t>
      </w:r>
      <w:r>
        <w:t xml:space="preserve"> </w:t>
      </w:r>
      <m:oMath>
        <m:r>
          <m:t>K</m:t>
        </m:r>
      </m:oMath>
      <w:r>
        <w:t xml:space="preserve"> </w:t>
      </w:r>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(NOAA2024cAlertsWatches) of geomagnetic changes and disturbances in the Earth’s magnetic field are based on the</w:t>
      </w:r>
      <w:r>
        <w:t xml:space="preserve"> </w:t>
      </w:r>
      <m:oMath>
        <m:sSub>
          <m:e>
            <m:r>
              <m:t>K</m:t>
            </m:r>
          </m:e>
          <m:sub>
            <m:r>
              <m:t>p</m:t>
            </m:r>
          </m:sub>
        </m:sSub>
      </m:oMath>
      <w:r>
        <w:t xml:space="preserve">-index.</w:t>
      </w:r>
    </w:p>
    <w:p>
      <w:pPr>
        <w:pStyle w:val="BodyText"/>
      </w:pPr>
      <w:r>
        <w:t xml:space="preserve">Hourly geomagnetic storm index data are available on the NASA Goddard SPDF (Papitashvili, 2024a, Papitashvili, 2024b)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w:t>
      </w:r>
    </w:p>
    <w:p>
      <w:pPr>
        <w:pStyle w:val="BodyText"/>
      </w:pPr>
      <w:r>
        <w:t xml:space="preserve">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(Myint et al., 2022).</w:t>
      </w:r>
    </w:p>
    <w:p>
      <w:pPr>
        <w:pStyle w:val="BodyText"/>
      </w:pPr>
      <w:r>
        <w:t xml:space="preserve">The</w:t>
      </w:r>
      <w:r>
        <w:t xml:space="preserve"> </w:t>
      </w:r>
      <m:oMath>
        <m:sSub>
          <m:e>
            <m:r>
              <m:t>K</m:t>
            </m:r>
          </m:e>
          <m:sub>
            <m:r>
              <m:t>p</m:t>
            </m:r>
          </m:sub>
        </m:sSub>
      </m:oMath>
      <w:r>
        <w:t xml:space="preserve">-index as related to geomagnetic storm descriptions and warnings using the NOAA G scale (NOAA2024eSpace, NOAA2024fScales) is given in Table </w:t>
      </w:r>
      <w:hyperlink w:anchor="tab:Kp">
        <w:r>
          <w:rPr>
            <w:rStyle w:val="Hyperlink"/>
          </w:rPr>
          <w:t xml:space="preserve">3</w:t>
        </w:r>
      </w:hyperlink>
      <w:r>
        <w:t xml:space="preserve">.</w:t>
      </w:r>
    </w:p>
    <w:p>
      <w:pPr>
        <w:pStyle w:val="BodyText"/>
      </w:pPr>
      <w:r>
        <w:t xml:space="preserve">In March 2021,</w:t>
      </w:r>
      <w:r>
        <w:t xml:space="preserve"> </w:t>
      </w:r>
      <m:oMath>
        <m:sSub>
          <m:e>
            <m:r>
              <m:t>K</m:t>
            </m:r>
          </m:e>
          <m:sub>
            <m:r>
              <m:t>p</m:t>
            </m:r>
          </m:sub>
        </m:sSub>
      </m:oMath>
      <w:r>
        <w:t xml:space="preserve"> </w:t>
      </w:r>
      <w:r>
        <w:t xml:space="preserve">was assigned a DOI with a dataset (Matzka, Bronkalla, et al., 2021a) and a scientific publication (Matzka, Bronkalla, et al., 2021b) for reference.</w:t>
      </w:r>
    </w:p>
    <w:bookmarkStart w:id="32" w:name="tab:Kp"/>
    <w:p>
      <w:pPr>
        <w:pStyle w:val="TableCaption"/>
      </w:pPr>
      <w:r>
        <w:t xml:space="preserve">The</w:t>
      </w:r>
      <w:r>
        <w:t xml:space="preserve"> </w:t>
      </w:r>
      <m:oMath>
        <m:sSub>
          <m:e>
            <m:r>
              <m:t>K</m:t>
            </m:r>
          </m:e>
          <m:sub>
            <m:r>
              <m:t>p</m:t>
            </m:r>
          </m:sub>
        </m:sSub>
      </m:oMath>
      <w:r>
        <w:t xml:space="preserve">-index as related to geomagnetic storm descriptions and warnings using the NOAA G scale (NOAA2024eSpace, NOAA2024fScales).</w:t>
      </w:r>
    </w:p>
    <w:tbl>
      <w:tblPr>
        <w:tblStyle w:val="Table"/>
        <w:tblW w:type="auto" w:w="0"/>
        <w:tblLook w:firstRow="1" w:lastRow="0" w:firstColumn="0" w:lastColumn="0" w:noHBand="0" w:noVBand="0" w:val="0020"/>
        <w:tblCaption w:val="The K_{p}-index as related to geomagnetic storm descriptions and warnings using the NOAA G scale (NOAA2024eSpace, NOAA2024fScales)."/>
      </w:tblPr>
      <w:tblGrid>
        <w:gridCol w:w="1131"/>
        <w:gridCol w:w="1131"/>
        <w:gridCol w:w="1131"/>
        <w:gridCol w:w="1131"/>
        <w:gridCol w:w="1131"/>
        <w:gridCol w:w="1131"/>
        <w:gridCol w:w="1131"/>
      </w:tblGrid>
      <w:tr>
        <w:trPr>
          <w:tblHeader w:val="on"/>
        </w:trPr>
        <w:tc>
          <w:tcPr/>
          <w:p>
            <w:pPr>
              <w:pStyle w:val="Compact"/>
              <w:jc w:val="center"/>
            </w:pPr>
            <m:oMath>
              <m:sSub>
                <m:e>
                  <m:r>
                    <m:t>K</m:t>
                  </m:r>
                </m:e>
                <m:sub>
                  <m:r>
                    <m:t>p</m:t>
                  </m:r>
                </m:sub>
              </m:sSub>
            </m:oMath>
            <w:r>
              <w:t xml:space="preserve">-index</w:t>
            </w:r>
          </w:p>
        </w:tc>
        <w:tc>
          <w:tcPr/>
          <w:p>
            <w:pPr>
              <w:pStyle w:val="Compact"/>
              <w:jc w:val="center"/>
            </w:pPr>
            <m:oMath>
              <m:r>
                <m:rPr>
                  <m:sty m:val="p"/>
                </m:rPr>
                <m:t>&lt;</m:t>
              </m:r>
              <m:r>
                <m:t>5</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r>
                <m:rPr>
                  <m:sty m:val="p"/>
                </m:rPr>
                <m:t>,</m:t>
              </m:r>
              <m:sSub>
                <m:e>
                  <m:r>
                    <m:t>9</m:t>
                  </m:r>
                </m:e>
                <m:sub>
                  <m:r>
                    <m:rPr>
                      <m:sty m:val="p"/>
                    </m:rPr>
                    <m:t>−</m:t>
                  </m:r>
                </m:sub>
              </m:sSub>
            </m:oMath>
          </w:p>
        </w:tc>
        <w:tc>
          <w:tcPr/>
          <w:p>
            <w:pPr>
              <w:pStyle w:val="Compact"/>
              <w:jc w:val="center"/>
            </w:pPr>
            <m:oMath>
              <m:r>
                <m:t>9</m:t>
              </m:r>
            </m:oMath>
          </w:p>
        </w:tc>
      </w:tr>
      <w:tr>
        <w:tc>
          <w:tcPr/>
          <w:p>
            <w:pPr>
              <w:pStyle w:val="Compact"/>
              <w:jc w:val="center"/>
            </w:pPr>
            <w:r>
              <w:t xml:space="preserve">NOAA Space Weather Scale Geomagnetic Storm Level</w:t>
            </w:r>
          </w:p>
        </w:tc>
        <w:tc>
          <w:tcPr/>
          <w:p>
            <w:pPr>
              <w:pStyle w:val="Compact"/>
              <w:jc w:val="center"/>
            </w:pPr>
            <w:r>
              <w:t xml:space="preserve">G0</w:t>
            </w:r>
          </w:p>
        </w:tc>
        <w:tc>
          <w:tcPr/>
          <w:p>
            <w:pPr>
              <w:pStyle w:val="Compact"/>
              <w:jc w:val="center"/>
            </w:pPr>
            <w:r>
              <w:t xml:space="preserve">G1</w:t>
            </w:r>
          </w:p>
        </w:tc>
        <w:tc>
          <w:tcPr/>
          <w:p>
            <w:pPr>
              <w:pStyle w:val="Compact"/>
              <w:jc w:val="center"/>
            </w:pPr>
            <w:r>
              <w:t xml:space="preserve">G2</w:t>
            </w:r>
          </w:p>
        </w:tc>
        <w:tc>
          <w:tcPr/>
          <w:p>
            <w:pPr>
              <w:pStyle w:val="Compact"/>
              <w:jc w:val="center"/>
            </w:pPr>
            <w:r>
              <w:t xml:space="preserve">G3</w:t>
            </w:r>
          </w:p>
        </w:tc>
        <w:tc>
          <w:tcPr/>
          <w:p>
            <w:pPr>
              <w:pStyle w:val="Compact"/>
              <w:jc w:val="center"/>
            </w:pPr>
            <w:r>
              <w:t xml:space="preserve">G4</w:t>
            </w:r>
          </w:p>
        </w:tc>
        <w:tc>
          <w:tcPr/>
          <w:p>
            <w:pPr>
              <w:pStyle w:val="Compact"/>
              <w:jc w:val="center"/>
            </w:pPr>
            <w:r>
              <w:t xml:space="preserve">G5</w:t>
            </w:r>
          </w:p>
        </w:tc>
      </w:tr>
    </w:tbl>
    <w:bookmarkEnd w:id="32"/>
    <w:bookmarkEnd w:id="33"/>
    <w:bookmarkStart w:id="36"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(NOAA2024gGeomagneticIndices)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Table </w:t>
      </w:r>
      <w:hyperlink w:anchor="tab:a">
        <w:r>
          <w:rPr>
            <w:rStyle w:val="Hyperlink"/>
          </w:rPr>
          <w:t xml:space="preserve">4</w:t>
        </w:r>
      </w:hyperlink>
      <w:r>
        <w:t xml:space="preserve"> </w:t>
      </w:r>
      <w:r>
        <w:t xml:space="preserve">illustrates the conversion between</w:t>
      </w:r>
      <w:r>
        <w:t xml:space="preserve"> </w:t>
      </w:r>
      <m:oMath>
        <m:r>
          <m:t>K</m:t>
        </m:r>
      </m:oMath>
      <w:r>
        <w:t xml:space="preserve">-index and</w:t>
      </w:r>
      <w:r>
        <w:t xml:space="preserve"> </w:t>
      </w:r>
      <m:oMath>
        <m:r>
          <m:t>a</m:t>
        </m:r>
      </m:oMath>
      <w:r>
        <w:t xml:space="preserve">-index values (NOAA2024bKindex). Table </w:t>
      </w:r>
      <w:hyperlink w:anchor="tab:ap">
        <w:r>
          <w:rPr>
            <w:rStyle w:val="Hyperlink"/>
          </w:rPr>
          <w:t xml:space="preserve">5</w:t>
        </w:r>
      </w:hyperlink>
      <w:r>
        <w:t xml:space="preserve"> </w:t>
      </w:r>
      <w:r>
        <w:t xml:space="preserve">illustrates the conversion between</w:t>
      </w:r>
      <w:r>
        <w:t xml:space="preserve"> </w:t>
      </w:r>
      <m:oMath>
        <m:sSub>
          <m:e>
            <m:r>
              <m:t>K</m:t>
            </m:r>
          </m:e>
          <m:sub>
            <m:r>
              <m:t>p</m:t>
            </m:r>
          </m:sub>
        </m:sSub>
      </m:oMath>
      <w:r>
        <w:t xml:space="preserve">-index and</w:t>
      </w:r>
      <w:r>
        <w:t xml:space="preserve"> </w:t>
      </w:r>
      <m:oMath>
        <m:sSub>
          <m:e>
            <m:r>
              <m:t>a</m:t>
            </m:r>
          </m:e>
          <m:sub>
            <m:r>
              <m:t>p</m:t>
            </m:r>
          </m:sub>
        </m:sSub>
      </m:oMath>
      <w:r>
        <w:t xml:space="preserve">-index values (NOAA2024gGeomagneticIndices).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 As an example, if</w:t>
      </w:r>
      <w:r>
        <w:t xml:space="preserve"> </w:t>
      </w:r>
      <m:oMath>
        <m:r>
          <m:t>8</m:t>
        </m:r>
      </m:oMath>
      <w:r>
        <w:t xml:space="preserve"> </w:t>
      </w:r>
      <m:oMath>
        <m:r>
          <m:t>K</m:t>
        </m:r>
      </m:oMath>
      <w:r>
        <w:t xml:space="preserve">-indices were</w:t>
      </w:r>
      <w:r>
        <w:t xml:space="preserve"> </w:t>
      </w:r>
      <m:oMath>
        <m:r>
          <m:t>3</m:t>
        </m:r>
      </m:oMath>
      <w:r>
        <w:t xml:space="preserve">,</w:t>
      </w:r>
      <w:r>
        <w:t xml:space="preserve"> </w:t>
      </w:r>
      <m:oMath>
        <m:r>
          <m:t>4</m:t>
        </m:r>
      </m:oMath>
      <w:r>
        <w:t xml:space="preserve">,</w:t>
      </w:r>
      <w:r>
        <w:t xml:space="preserve"> </w:t>
      </w:r>
      <m:oMath>
        <m:r>
          <m:t>6</m:t>
        </m:r>
      </m:oMath>
      <w:r>
        <w:t xml:space="preserve">,</w:t>
      </w:r>
      <w:r>
        <w:t xml:space="preserve"> </w:t>
      </w:r>
      <m:oMath>
        <m:r>
          <m:t>5</m:t>
        </m:r>
      </m:oMath>
      <w:r>
        <w:t xml:space="preserve">,</w:t>
      </w:r>
      <w:r>
        <w:t xml:space="preserve"> </w:t>
      </w:r>
      <m:oMath>
        <m:r>
          <m:t>3</m:t>
        </m:r>
      </m:oMath>
      <w:r>
        <w:t xml:space="preserve">,</w:t>
      </w:r>
      <w:r>
        <w:t xml:space="preserve"> </w:t>
      </w:r>
      <m:oMath>
        <m:r>
          <m:t>2</m:t>
        </m:r>
      </m:oMath>
      <w:r>
        <w:t xml:space="preserve">,</w:t>
      </w:r>
      <w:r>
        <w:t xml:space="preserve"> </w:t>
      </w:r>
      <m:oMath>
        <m:r>
          <m:t>2</m:t>
        </m:r>
      </m:oMath>
      <w:r>
        <w:t xml:space="preserve">, and</w:t>
      </w:r>
      <w:r>
        <w:t xml:space="preserve"> </w:t>
      </w:r>
      <m:oMath>
        <m:r>
          <m:t>1</m:t>
        </m:r>
      </m:oMath>
      <w:r>
        <w:t xml:space="preserve">, the</w:t>
      </w:r>
      <w:r>
        <w:t xml:space="preserve"> </w:t>
      </w:r>
      <m:oMath>
        <m:r>
          <m:t>a</m:t>
        </m:r>
      </m:oMath>
      <w:r>
        <w:t xml:space="preserve">-indices equal</w:t>
      </w:r>
      <w:r>
        <w:t xml:space="preserve"> </w:t>
      </w:r>
      <m:oMath>
        <m:r>
          <m:t>15</m:t>
        </m:r>
      </m:oMath>
      <w:r>
        <w:t xml:space="preserve">,</w:t>
      </w:r>
      <w:r>
        <w:t xml:space="preserve"> </w:t>
      </w:r>
      <m:oMath>
        <m:r>
          <m:t>27</m:t>
        </m:r>
      </m:oMath>
      <w:r>
        <w:t xml:space="preserve">,</w:t>
      </w:r>
      <w:r>
        <w:t xml:space="preserve"> </w:t>
      </w:r>
      <m:oMath>
        <m:r>
          <m:t>80</m:t>
        </m:r>
      </m:oMath>
      <w:r>
        <w:t xml:space="preserve">,</w:t>
      </w:r>
      <w:r>
        <w:t xml:space="preserve"> </w:t>
      </w:r>
      <m:oMath>
        <m:r>
          <m:t>48</m:t>
        </m:r>
      </m:oMath>
      <w:r>
        <w:t xml:space="preserve">,</w:t>
      </w:r>
      <w:r>
        <w:t xml:space="preserve"> </w:t>
      </w:r>
      <m:oMath>
        <m:r>
          <m:t>15</m:t>
        </m:r>
      </m:oMath>
      <w:r>
        <w:t xml:space="preserve">,</w:t>
      </w:r>
      <w:r>
        <w:t xml:space="preserve"> </w:t>
      </w:r>
      <m:oMath>
        <m:r>
          <m:t>7</m:t>
        </m:r>
      </m:oMath>
      <w:r>
        <w:t xml:space="preserve">,</w:t>
      </w:r>
      <w:r>
        <w:t xml:space="preserve"> </w:t>
      </w:r>
      <m:oMath>
        <m:r>
          <m:t>7</m:t>
        </m:r>
      </m:oMath>
      <w:r>
        <w:t xml:space="preserve">, and</w:t>
      </w:r>
      <w:r>
        <w:t xml:space="preserve"> </w:t>
      </w:r>
      <m:oMath>
        <m:r>
          <m:t>3</m:t>
        </m:r>
      </m:oMath>
      <w:r>
        <w:t xml:space="preserve">, and the</w:t>
      </w:r>
      <w:r>
        <w:t xml:space="preserve"> </w:t>
      </w:r>
      <m:oMath>
        <m:r>
          <m:t>A</m:t>
        </m:r>
      </m:oMath>
      <w:r>
        <w:t xml:space="preserve">-index equals</w:t>
      </w:r>
    </w:p>
    <w:p>
      <w:pPr>
        <w:pStyle w:val="BodyText"/>
      </w:pPr>
      <m:oMathPara>
        <m:oMathParaPr>
          <m:jc m:val="center"/>
        </m:oMathParaPr>
        <m:oMath>
          <m:r>
            <m:t>A</m:t>
          </m:r>
          <m:r>
            <m:rPr>
              <m:sty m:val="p"/>
            </m:rPr>
            <m:t>=</m:t>
          </m:r>
          <m:d>
            <m:dPr>
              <m:begChr m:val="("/>
              <m:endChr m:val=")"/>
              <m:sepChr m:val=""/>
              <m:grow/>
            </m:dPr>
            <m:e>
              <m:r>
                <m:t>15</m:t>
              </m:r>
              <m:r>
                <m:rPr>
                  <m:sty m:val="p"/>
                </m:rPr>
                <m:t>+</m:t>
              </m:r>
              <m:r>
                <m:t>27</m:t>
              </m:r>
              <m:r>
                <m:rPr>
                  <m:sty m:val="p"/>
                </m:rPr>
                <m:t>+</m:t>
              </m:r>
              <m:r>
                <m:t>80</m:t>
              </m:r>
              <m:r>
                <m:rPr>
                  <m:sty m:val="p"/>
                </m:rPr>
                <m:t>+</m:t>
              </m:r>
              <m:r>
                <m:t>48</m:t>
              </m:r>
              <m:r>
                <m:rPr>
                  <m:sty m:val="p"/>
                </m:rPr>
                <m:t>+</m:t>
              </m:r>
              <m:r>
                <m:t>15</m:t>
              </m:r>
              <m:r>
                <m:rPr>
                  <m:sty m:val="p"/>
                </m:rPr>
                <m:t>+</m:t>
              </m:r>
              <m:r>
                <m:t>7</m:t>
              </m:r>
              <m:r>
                <m:rPr>
                  <m:sty m:val="p"/>
                </m:rPr>
                <m:t>+</m:t>
              </m:r>
              <m:r>
                <m:t>7</m:t>
              </m:r>
              <m:r>
                <m:rPr>
                  <m:sty m:val="p"/>
                </m:rPr>
                <m:t>+</m:t>
              </m:r>
              <m:r>
                <m:t>3</m:t>
              </m:r>
            </m:e>
          </m:d>
          <m:r>
            <m:rPr>
              <m:sty m:val="p"/>
            </m:rPr>
            <m:t>/</m:t>
          </m:r>
          <m:r>
            <m:t>8</m:t>
          </m:r>
          <m:r>
            <m:rPr>
              <m:sty m:val="p"/>
            </m:rPr>
            <m:t>=</m:t>
          </m:r>
          <m:r>
            <m:t>202</m:t>
          </m:r>
          <m:r>
            <m:rPr>
              <m:sty m:val="p"/>
            </m:rPr>
            <m:t>/</m:t>
          </m:r>
          <m:r>
            <m:t>8</m:t>
          </m:r>
          <m:r>
            <m:rPr>
              <m:sty m:val="p"/>
            </m:rPr>
            <m:t>=</m:t>
          </m:r>
          <m:r>
            <m:t>25.25</m:t>
          </m:r>
          <m:r>
            <m:t> </m:t>
          </m:r>
          <m:d>
            <m:dPr>
              <m:begChr m:val="("/>
              <m:endChr m:val=")"/>
              <m:sepChr m:val=""/>
              <m:grow/>
            </m:dPr>
            <m:e>
              <m:r>
                <m:t>6</m:t>
              </m:r>
            </m:e>
          </m:d>
        </m:oMath>
      </m:oMathPara>
    </w:p>
    <w:p>
      <w:pPr>
        <w:pStyle w:val="FirstParagraph"/>
      </w:pPr>
      <w:r>
        <w:t xml:space="preserve">.</w:t>
      </w:r>
    </w:p>
    <w:bookmarkStart w:id="34" w:name="tab:a"/>
    <w:p>
      <w:pPr>
        <w:pStyle w:val="TableCaption"/>
      </w:pPr>
      <w:r>
        <w:t xml:space="preserve">The</w:t>
      </w:r>
      <w:r>
        <w:t xml:space="preserve"> </w:t>
      </w:r>
      <m:oMath>
        <m:r>
          <m:t>a</m:t>
        </m:r>
      </m:oMath>
      <w:r>
        <w:t xml:space="preserve">-index values for each</w:t>
      </w:r>
      <w:r>
        <w:t xml:space="preserve"> </w:t>
      </w:r>
      <m:oMath>
        <m:r>
          <m:t>K</m:t>
        </m:r>
      </m:oMath>
      <w:r>
        <w:t xml:space="preserve">-index, from (NOAA2024bKindex).</w:t>
      </w:r>
    </w:p>
    <w:tbl>
      <w:tblPr>
        <w:tblStyle w:val="Table"/>
        <w:tblW w:type="auto" w:w="0"/>
        <w:tblLook w:firstRow="1" w:lastRow="0" w:firstColumn="0" w:lastColumn="0" w:noHBand="0" w:noVBand="0" w:val="0020"/>
        <w:tblCaption w:val="The a-index values for each K-index, from (NOAA2024bKindex)."/>
      </w:tblPr>
      <w:tblGrid>
        <w:gridCol w:w="720"/>
        <w:gridCol w:w="720"/>
        <w:gridCol w:w="720"/>
        <w:gridCol w:w="720"/>
        <w:gridCol w:w="720"/>
        <w:gridCol w:w="720"/>
        <w:gridCol w:w="720"/>
        <w:gridCol w:w="720"/>
        <w:gridCol w:w="720"/>
        <w:gridCol w:w="720"/>
        <w:gridCol w:w="7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r>
                <m:t>a</m:t>
              </m:r>
            </m:oMath>
          </w:p>
        </w:tc>
        <w:tc>
          <w:tcPr/>
          <w:p>
            <w:pPr>
              <w:pStyle w:val="Compact"/>
              <w:jc w:val="center"/>
            </w:pPr>
            <m:oMath>
              <m:r>
                <m:t>0</m:t>
              </m:r>
            </m:oMath>
          </w:p>
        </w:tc>
        <w:tc>
          <w:tcPr/>
          <w:p>
            <w:pPr>
              <w:pStyle w:val="Compact"/>
              <w:jc w:val="center"/>
            </w:pPr>
            <m:oMath>
              <m:r>
                <m:t>3</m:t>
              </m:r>
            </m:oMath>
          </w:p>
        </w:tc>
        <w:tc>
          <w:tcPr/>
          <w:p>
            <w:pPr>
              <w:pStyle w:val="Compact"/>
              <w:jc w:val="center"/>
            </w:pPr>
            <m:oMath>
              <m:r>
                <m:t>7</m:t>
              </m:r>
            </m:oMath>
          </w:p>
        </w:tc>
        <w:tc>
          <w:tcPr/>
          <w:p>
            <w:pPr>
              <w:pStyle w:val="Compact"/>
              <w:jc w:val="center"/>
            </w:pPr>
            <m:oMath>
              <m:r>
                <m:t>15</m:t>
              </m:r>
            </m:oMath>
          </w:p>
        </w:tc>
        <w:tc>
          <w:tcPr/>
          <w:p>
            <w:pPr>
              <w:pStyle w:val="Compact"/>
              <w:jc w:val="center"/>
            </w:pPr>
            <m:oMath>
              <m:r>
                <m:t>27</m:t>
              </m:r>
            </m:oMath>
          </w:p>
        </w:tc>
        <w:tc>
          <w:tcPr/>
          <w:p>
            <w:pPr>
              <w:pStyle w:val="Compact"/>
              <w:jc w:val="center"/>
            </w:pPr>
            <m:oMath>
              <m:r>
                <m:t>48</m:t>
              </m:r>
            </m:oMath>
          </w:p>
        </w:tc>
        <w:tc>
          <w:tcPr/>
          <w:p>
            <w:pPr>
              <w:pStyle w:val="Compact"/>
              <w:jc w:val="center"/>
            </w:pPr>
            <m:oMath>
              <m:r>
                <m:t>80</m:t>
              </m:r>
            </m:oMath>
          </w:p>
        </w:tc>
        <w:tc>
          <w:tcPr/>
          <w:p>
            <w:pPr>
              <w:pStyle w:val="Compact"/>
              <w:jc w:val="center"/>
            </w:pPr>
            <m:oMath>
              <m:r>
                <m:t>140</m:t>
              </m:r>
            </m:oMath>
          </w:p>
        </w:tc>
        <w:tc>
          <w:tcPr/>
          <w:p>
            <w:pPr>
              <w:pStyle w:val="Compact"/>
              <w:jc w:val="center"/>
            </w:pPr>
            <m:oMath>
              <m:r>
                <m:t>240</m:t>
              </m:r>
            </m:oMath>
          </w:p>
        </w:tc>
        <w:tc>
          <w:tcPr/>
          <w:p>
            <w:pPr>
              <w:pStyle w:val="Compact"/>
              <w:jc w:val="center"/>
            </w:pPr>
            <m:oMath>
              <m:r>
                <m:t>400</m:t>
              </m:r>
            </m:oMath>
          </w:p>
        </w:tc>
      </w:tr>
    </w:tbl>
    <w:bookmarkEnd w:id="34"/>
    <w:bookmarkStart w:id="35" w:name="tab:ap"/>
    <w:p>
      <w:pPr>
        <w:pStyle w:val="TableCaption"/>
      </w:pPr>
      <w:r>
        <w:t xml:space="preserve">The</w:t>
      </w:r>
      <w:r>
        <w:t xml:space="preserve"> </w:t>
      </w:r>
      <m:oMath>
        <m:sSub>
          <m:e>
            <m:r>
              <m:t>a</m:t>
            </m:r>
          </m:e>
          <m:sub>
            <m:r>
              <m:t>p</m:t>
            </m:r>
          </m:sub>
        </m:sSub>
      </m:oMath>
      <w:r>
        <w:t xml:space="preserve">-index values for each</w:t>
      </w:r>
      <w:r>
        <w:t xml:space="preserve"> </w:t>
      </w:r>
      <m:oMath>
        <m:sSub>
          <m:e>
            <m:r>
              <m:t>K</m:t>
            </m:r>
          </m:e>
          <m:sub>
            <m:r>
              <m:t>p</m:t>
            </m:r>
          </m:sub>
        </m:sSub>
      </m:oMath>
      <w:r>
        <w:t xml:space="preserve">-index, from (NOAA2024gGeomagneticIndices).</w:t>
      </w:r>
    </w:p>
    <w:tbl>
      <w:tblPr>
        <w:tblStyle w:val="Table"/>
        <w:tblW w:type="auto" w:w="0"/>
        <w:tblLook w:firstRow="1" w:lastRow="0" w:firstColumn="0" w:lastColumn="0" w:noHBand="0" w:noVBand="0" w:val="0020"/>
        <w:tblCaption w:val="The a_{p}-index values for each K_{p}-index, from (NOAA2024gGeomagneticIndices)."/>
      </w:tblPr>
      <w:tblGrid>
        <w:gridCol w:w="528"/>
        <w:gridCol w:w="528"/>
        <w:gridCol w:w="528"/>
        <w:gridCol w:w="528"/>
        <w:gridCol w:w="528"/>
        <w:gridCol w:w="528"/>
        <w:gridCol w:w="528"/>
        <w:gridCol w:w="528"/>
        <w:gridCol w:w="528"/>
        <w:gridCol w:w="528"/>
        <w:gridCol w:w="528"/>
        <w:gridCol w:w="528"/>
        <w:gridCol w:w="528"/>
        <w:gridCol w:w="528"/>
        <w:gridCol w:w="528"/>
      </w:tblGrid>
      <w:tr>
        <w:trPr>
          <w:tblHeader w:val="on"/>
        </w:trPr>
        <w:tc>
          <w:tcPr/>
          <w:p>
            <w:pPr>
              <w:pStyle w:val="Compact"/>
              <w:jc w:val="center"/>
            </w:pPr>
            <m:oMath>
              <m:sSub>
                <m:e>
                  <m:r>
                    <m:t>K</m:t>
                  </m:r>
                </m:e>
                <m:sub>
                  <m:r>
                    <m:t>p</m:t>
                  </m:r>
                </m:sub>
              </m:sSub>
            </m:oMath>
          </w:p>
        </w:tc>
        <w:tc>
          <w:tcPr/>
          <w:p>
            <w:pPr>
              <w:pStyle w:val="Compact"/>
              <w:jc w:val="center"/>
            </w:pPr>
            <m:oMath>
              <m:sSub>
                <m:e>
                  <m:r>
                    <m:t>0</m:t>
                  </m:r>
                </m:e>
                <m:sub>
                  <m:r>
                    <m:t>o</m:t>
                  </m:r>
                </m:sub>
              </m:sSub>
            </m:oMath>
          </w:p>
        </w:tc>
        <w:tc>
          <w:tcPr/>
          <w:p>
            <w:pPr>
              <w:pStyle w:val="Compact"/>
              <w:jc w:val="center"/>
            </w:pPr>
            <m:oMath>
              <m:sSub>
                <m:e>
                  <m:r>
                    <m:t>0</m:t>
                  </m:r>
                </m:e>
                <m:sub>
                  <m:r>
                    <m:rPr>
                      <m:sty m:val="p"/>
                    </m:rPr>
                    <m:t>+</m:t>
                  </m:r>
                </m:sub>
              </m:sSub>
            </m:oMath>
          </w:p>
        </w:tc>
        <w:tc>
          <w:tcPr/>
          <w:p>
            <w:pPr>
              <w:pStyle w:val="Compact"/>
              <w:jc w:val="center"/>
            </w:pPr>
            <m:oMath>
              <m:sSub>
                <m:e>
                  <m:r>
                    <m:t>1</m:t>
                  </m:r>
                </m:e>
                <m:sub>
                  <m:r>
                    <m:rPr>
                      <m:sty m:val="p"/>
                    </m:rPr>
                    <m:t>−</m:t>
                  </m:r>
                </m:sub>
              </m:sSub>
            </m:oMath>
          </w:p>
        </w:tc>
        <w:tc>
          <w:tcPr/>
          <w:p>
            <w:pPr>
              <w:pStyle w:val="Compact"/>
              <w:jc w:val="center"/>
            </w:pPr>
            <m:oMath>
              <m:sSub>
                <m:e>
                  <m:r>
                    <m:t>1</m:t>
                  </m:r>
                </m:e>
                <m:sub>
                  <m:r>
                    <m:t>o</m:t>
                  </m:r>
                </m:sub>
              </m:sSub>
            </m:oMath>
          </w:p>
        </w:tc>
        <w:tc>
          <w:tcPr/>
          <w:p>
            <w:pPr>
              <w:pStyle w:val="Compact"/>
              <w:jc w:val="center"/>
            </w:pPr>
            <m:oMath>
              <m:sSub>
                <m:e>
                  <m:r>
                    <m:t>1</m:t>
                  </m:r>
                </m:e>
                <m:sub>
                  <m:r>
                    <m:rPr>
                      <m:sty m:val="p"/>
                    </m:rPr>
                    <m:t>+</m:t>
                  </m:r>
                </m:sub>
              </m:sSub>
            </m:oMath>
          </w:p>
        </w:tc>
        <w:tc>
          <w:tcPr/>
          <w:p>
            <w:pPr>
              <w:pStyle w:val="Compact"/>
              <w:jc w:val="center"/>
            </w:pPr>
            <m:oMath>
              <m:sSub>
                <m:e>
                  <m:r>
                    <m:t>2</m:t>
                  </m:r>
                </m:e>
                <m:sub>
                  <m:r>
                    <m:rPr>
                      <m:sty m:val="p"/>
                    </m:rPr>
                    <m:t>−</m:t>
                  </m:r>
                </m:sub>
              </m:sSub>
            </m:oMath>
          </w:p>
        </w:tc>
        <w:tc>
          <w:tcPr/>
          <w:p>
            <w:pPr>
              <w:pStyle w:val="Compact"/>
              <w:jc w:val="center"/>
            </w:pPr>
            <m:oMath>
              <m:sSub>
                <m:e>
                  <m:r>
                    <m:t>2</m:t>
                  </m:r>
                </m:e>
                <m:sub>
                  <m:r>
                    <m:t>o</m:t>
                  </m:r>
                </m:sub>
              </m:sSub>
            </m:oMath>
          </w:p>
        </w:tc>
        <w:tc>
          <w:tcPr/>
          <w:p>
            <w:pPr>
              <w:pStyle w:val="Compact"/>
              <w:jc w:val="center"/>
            </w:pPr>
            <m:oMath>
              <m:sSub>
                <m:e>
                  <m:r>
                    <m:t>2</m:t>
                  </m:r>
                </m:e>
                <m:sub>
                  <m:r>
                    <m:rPr>
                      <m:sty m:val="p"/>
                    </m:rPr>
                    <m:t>+</m:t>
                  </m:r>
                </m:sub>
              </m:sSub>
            </m:oMath>
          </w:p>
        </w:tc>
        <w:tc>
          <w:tcPr/>
          <w:p>
            <w:pPr>
              <w:pStyle w:val="Compact"/>
              <w:jc w:val="center"/>
            </w:pPr>
            <m:oMath>
              <m:sSub>
                <m:e>
                  <m:r>
                    <m:t>3</m:t>
                  </m:r>
                </m:e>
                <m:sub>
                  <m:r>
                    <m:rPr>
                      <m:sty m:val="p"/>
                    </m:rPr>
                    <m:t>−</m:t>
                  </m:r>
                </m:sub>
              </m:sSub>
            </m:oMath>
          </w:p>
        </w:tc>
        <w:tc>
          <w:tcPr/>
          <w:p>
            <w:pPr>
              <w:pStyle w:val="Compact"/>
              <w:jc w:val="center"/>
            </w:pPr>
            <m:oMath>
              <m:sSub>
                <m:e>
                  <m:r>
                    <m:t>3</m:t>
                  </m:r>
                </m:e>
                <m:sub>
                  <m:r>
                    <m:t>o</m:t>
                  </m:r>
                </m:sub>
              </m:sSub>
            </m:oMath>
          </w:p>
        </w:tc>
        <w:tc>
          <w:tcPr/>
          <w:p>
            <w:pPr>
              <w:pStyle w:val="Compact"/>
              <w:jc w:val="center"/>
            </w:pPr>
            <m:oMath>
              <m:sSub>
                <m:e>
                  <m:r>
                    <m:t>3</m:t>
                  </m:r>
                </m:e>
                <m:sub>
                  <m:r>
                    <m:rPr>
                      <m:sty m:val="p"/>
                    </m:rPr>
                    <m:t>+</m:t>
                  </m:r>
                </m:sub>
              </m:sSub>
            </m:oMath>
          </w:p>
        </w:tc>
        <w:tc>
          <w:tcPr/>
          <w:p>
            <w:pPr>
              <w:pStyle w:val="Compact"/>
              <w:jc w:val="center"/>
            </w:pPr>
            <m:oMath>
              <m:sSub>
                <m:e>
                  <m:r>
                    <m:t>4</m:t>
                  </m:r>
                </m:e>
                <m:sub>
                  <m:r>
                    <m:rPr>
                      <m:sty m:val="p"/>
                    </m:rPr>
                    <m:t>−</m:t>
                  </m:r>
                </m:sub>
              </m:sSub>
            </m:oMath>
          </w:p>
        </w:tc>
        <w:tc>
          <w:tcPr/>
          <w:p>
            <w:pPr>
              <w:pStyle w:val="Compact"/>
              <w:jc w:val="center"/>
            </w:pPr>
            <m:oMath>
              <m:sSub>
                <m:e>
                  <m:r>
                    <m:t>4</m:t>
                  </m:r>
                </m:e>
                <m:sub>
                  <m:r>
                    <m:t>o</m:t>
                  </m:r>
                </m:sub>
              </m:sSub>
            </m:oMath>
          </w:p>
        </w:tc>
        <w:tc>
          <w:tcPr/>
          <w:p>
            <w:pPr>
              <w:pStyle w:val="Compact"/>
              <w:jc w:val="center"/>
            </w:pPr>
            <m:oMath>
              <m:sSub>
                <m:e>
                  <m:r>
                    <m:t>4</m:t>
                  </m:r>
                </m:e>
                <m:sub>
                  <m:r>
                    <m:rPr>
                      <m:sty m:val="p"/>
                    </m:rPr>
                    <m:t>+</m:t>
                  </m:r>
                </m:sub>
              </m:sSub>
            </m:oMath>
          </w:p>
        </w:tc>
      </w:tr>
      <w:tr>
        <w:tc>
          <w:tcPr/>
          <w:p>
            <w:pPr>
              <w:pStyle w:val="Compact"/>
              <w:jc w:val="center"/>
            </w:pPr>
            <m:oMath>
              <m:sSub>
                <m:e>
                  <m:r>
                    <m:t>a</m:t>
                  </m:r>
                </m:e>
                <m:sub>
                  <m:r>
                    <m:t>p</m:t>
                  </m:r>
                </m:sub>
              </m:sSub>
            </m:oMath>
          </w:p>
        </w:tc>
        <w:tc>
          <w:tcPr/>
          <w:p>
            <w:pPr>
              <w:pStyle w:val="Compact"/>
              <w:jc w:val="center"/>
            </w:pPr>
            <m:oMath>
              <m:r>
                <m:t>0</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9</m:t>
              </m:r>
            </m:oMath>
          </w:p>
        </w:tc>
        <w:tc>
          <w:tcPr/>
          <w:p>
            <w:pPr>
              <w:pStyle w:val="Compact"/>
              <w:jc w:val="center"/>
            </w:pPr>
            <m:oMath>
              <m:r>
                <m:t>12</m:t>
              </m:r>
            </m:oMath>
          </w:p>
        </w:tc>
        <w:tc>
          <w:tcPr/>
          <w:p>
            <w:pPr>
              <w:pStyle w:val="Compact"/>
              <w:jc w:val="center"/>
            </w:pPr>
            <m:oMath>
              <m:r>
                <m:t>15</m:t>
              </m:r>
            </m:oMath>
          </w:p>
        </w:tc>
        <w:tc>
          <w:tcPr/>
          <w:p>
            <w:pPr>
              <w:pStyle w:val="Compact"/>
              <w:jc w:val="center"/>
            </w:pPr>
            <m:oMath>
              <m:r>
                <m:t>18</m:t>
              </m:r>
            </m:oMath>
          </w:p>
        </w:tc>
        <w:tc>
          <w:tcPr/>
          <w:p>
            <w:pPr>
              <w:pStyle w:val="Compact"/>
              <w:jc w:val="center"/>
            </w:pPr>
            <m:oMath>
              <m:r>
                <m:t>22</m:t>
              </m:r>
            </m:oMath>
          </w:p>
        </w:tc>
        <w:tc>
          <w:tcPr/>
          <w:p>
            <w:pPr>
              <w:pStyle w:val="Compact"/>
              <w:jc w:val="center"/>
            </w:pPr>
            <m:oMath>
              <m:r>
                <m:t>27</m:t>
              </m:r>
            </m:oMath>
          </w:p>
        </w:tc>
        <w:tc>
          <w:tcPr/>
          <w:p>
            <w:pPr>
              <w:pStyle w:val="Compact"/>
              <w:jc w:val="center"/>
            </w:pPr>
            <m:oMath>
              <m:r>
                <m:t>32</m:t>
              </m:r>
            </m:oMath>
          </w:p>
        </w:tc>
      </w:tr>
      <w:tr>
        <w:tc>
          <w:tcPr/>
          <w:p>
            <w:pPr>
              <w:pStyle w:val="Compact"/>
              <w:jc w:val="center"/>
            </w:pPr>
            <m:oMath>
              <m:sSub>
                <m:e>
                  <m:r>
                    <m:t>K</m:t>
                  </m:r>
                </m:e>
                <m:sub>
                  <m:r>
                    <m:t>p</m:t>
                  </m:r>
                </m:sub>
              </m:sSub>
            </m:oMath>
          </w:p>
        </w:tc>
        <w:tc>
          <w:tcPr/>
          <w:p>
            <w:pPr>
              <w:pStyle w:val="Compact"/>
              <w:jc w:val="center"/>
            </w:pPr>
            <m:oMath>
              <m:sSub>
                <m:e>
                  <m:r>
                    <m:t>5</m:t>
                  </m:r>
                </m:e>
                <m:sub>
                  <m:r>
                    <m:rPr>
                      <m:sty m:val="p"/>
                    </m:rPr>
                    <m:t>−</m:t>
                  </m:r>
                </m:sub>
              </m:sSub>
            </m:oMath>
          </w:p>
        </w:tc>
        <w:tc>
          <w:tcPr/>
          <w:p>
            <w:pPr>
              <w:pStyle w:val="Compact"/>
              <w:jc w:val="center"/>
            </w:pPr>
            <m:oMath>
              <m:sSub>
                <m:e>
                  <m:r>
                    <m:t>5</m:t>
                  </m:r>
                </m:e>
                <m:sub>
                  <m:r>
                    <m:t>o</m:t>
                  </m:r>
                </m:sub>
              </m:sSub>
            </m:oMath>
          </w:p>
        </w:tc>
        <w:tc>
          <w:tcPr/>
          <w:p>
            <w:pPr>
              <w:pStyle w:val="Compact"/>
              <w:jc w:val="center"/>
            </w:pPr>
            <m:oMath>
              <m:sSub>
                <m:e>
                  <m:r>
                    <m:t>5</m:t>
                  </m:r>
                </m:e>
                <m:sub>
                  <m:r>
                    <m:rPr>
                      <m:sty m:val="p"/>
                    </m:rPr>
                    <m:t>+</m:t>
                  </m:r>
                </m:sub>
              </m:sSub>
            </m:oMath>
          </w:p>
        </w:tc>
        <w:tc>
          <w:tcPr/>
          <w:p>
            <w:pPr>
              <w:pStyle w:val="Compact"/>
              <w:jc w:val="center"/>
            </w:pPr>
            <m:oMath>
              <m:sSub>
                <m:e>
                  <m:r>
                    <m:t>6</m:t>
                  </m:r>
                </m:e>
                <m:sub>
                  <m:r>
                    <m:rPr>
                      <m:sty m:val="p"/>
                    </m:rPr>
                    <m:t>−</m:t>
                  </m:r>
                </m:sub>
              </m:sSub>
            </m:oMath>
          </w:p>
        </w:tc>
        <w:tc>
          <w:tcPr/>
          <w:p>
            <w:pPr>
              <w:pStyle w:val="Compact"/>
              <w:jc w:val="center"/>
            </w:pPr>
            <m:oMath>
              <m:sSub>
                <m:e>
                  <m:r>
                    <m:t>6</m:t>
                  </m:r>
                </m:e>
                <m:sub>
                  <m:r>
                    <m:t>o</m:t>
                  </m:r>
                </m:sub>
              </m:sSub>
            </m:oMath>
          </w:p>
        </w:tc>
        <w:tc>
          <w:tcPr/>
          <w:p>
            <w:pPr>
              <w:pStyle w:val="Compact"/>
              <w:jc w:val="center"/>
            </w:pPr>
            <m:oMath>
              <m:sSub>
                <m:e>
                  <m:r>
                    <m:t>6</m:t>
                  </m:r>
                </m:e>
                <m:sub>
                  <m:r>
                    <m:rPr>
                      <m:sty m:val="p"/>
                    </m:rPr>
                    <m:t>+</m:t>
                  </m:r>
                </m:sub>
              </m:sSub>
            </m:oMath>
          </w:p>
        </w:tc>
        <w:tc>
          <w:tcPr/>
          <w:p>
            <w:pPr>
              <w:pStyle w:val="Compact"/>
              <w:jc w:val="center"/>
            </w:pPr>
            <m:oMath>
              <m:sSub>
                <m:e>
                  <m:r>
                    <m:t>7</m:t>
                  </m:r>
                </m:e>
                <m:sub>
                  <m:r>
                    <m:rPr>
                      <m:sty m:val="p"/>
                    </m:rPr>
                    <m:t>−</m:t>
                  </m:r>
                </m:sub>
              </m:sSub>
            </m:oMath>
          </w:p>
        </w:tc>
        <w:tc>
          <w:tcPr/>
          <w:p>
            <w:pPr>
              <w:pStyle w:val="Compact"/>
              <w:jc w:val="center"/>
            </w:pPr>
            <m:oMath>
              <m:sSub>
                <m:e>
                  <m:r>
                    <m:t>7</m:t>
                  </m:r>
                </m:e>
                <m:sub>
                  <m:r>
                    <m:t>o</m:t>
                  </m:r>
                </m:sub>
              </m:sSub>
            </m:oMath>
          </w:p>
        </w:tc>
        <w:tc>
          <w:tcPr/>
          <w:p>
            <w:pPr>
              <w:pStyle w:val="Compact"/>
              <w:jc w:val="center"/>
            </w:pPr>
            <m:oMath>
              <m:sSub>
                <m:e>
                  <m:r>
                    <m:t>7</m:t>
                  </m:r>
                </m:e>
                <m:sub>
                  <m:r>
                    <m:rPr>
                      <m:sty m:val="p"/>
                    </m:rPr>
                    <m:t>+</m:t>
                  </m:r>
                </m:sub>
              </m:sSub>
            </m:oMath>
          </w:p>
        </w:tc>
        <w:tc>
          <w:tcPr/>
          <w:p>
            <w:pPr>
              <w:pStyle w:val="Compact"/>
              <w:jc w:val="center"/>
            </w:pPr>
            <m:oMath>
              <m:sSub>
                <m:e>
                  <m:r>
                    <m:t>8</m:t>
                  </m:r>
                </m:e>
                <m:sub>
                  <m:r>
                    <m:rPr>
                      <m:sty m:val="p"/>
                    </m:rPr>
                    <m:t>−</m:t>
                  </m:r>
                </m:sub>
              </m:sSub>
            </m:oMath>
          </w:p>
        </w:tc>
        <w:tc>
          <w:tcPr/>
          <w:p>
            <w:pPr>
              <w:pStyle w:val="Compact"/>
              <w:jc w:val="center"/>
            </w:pPr>
            <m:oMath>
              <m:sSub>
                <m:e>
                  <m:r>
                    <m:t>8</m:t>
                  </m:r>
                </m:e>
                <m:sub>
                  <m:r>
                    <m:t>o</m:t>
                  </m:r>
                </m:sub>
              </m:sSub>
            </m:oMath>
          </w:p>
        </w:tc>
        <w:tc>
          <w:tcPr/>
          <w:p>
            <w:pPr>
              <w:pStyle w:val="Compact"/>
              <w:jc w:val="center"/>
            </w:pPr>
            <m:oMath>
              <m:sSub>
                <m:e>
                  <m:r>
                    <m:t>8</m:t>
                  </m:r>
                </m:e>
                <m:sub>
                  <m:r>
                    <m:rPr>
                      <m:sty m:val="p"/>
                    </m:rPr>
                    <m:t>+</m:t>
                  </m:r>
                </m:sub>
              </m:sSub>
            </m:oMath>
          </w:p>
        </w:tc>
        <w:tc>
          <w:tcPr/>
          <w:p>
            <w:pPr>
              <w:pStyle w:val="Compact"/>
              <w:jc w:val="center"/>
            </w:pPr>
            <m:oMath>
              <m:sSub>
                <m:e>
                  <m:r>
                    <m:t>9</m:t>
                  </m:r>
                </m:e>
                <m:sub>
                  <m:r>
                    <m:rPr>
                      <m:sty m:val="p"/>
                    </m:rPr>
                    <m:t>−</m:t>
                  </m:r>
                </m:sub>
              </m:sSub>
            </m:oMath>
          </w:p>
        </w:tc>
        <w:tc>
          <w:tcPr/>
          <w:p>
            <w:pPr>
              <w:pStyle w:val="Compact"/>
              <w:jc w:val="center"/>
            </w:pPr>
            <m:oMath>
              <m:sSub>
                <m:e>
                  <m:r>
                    <m:t>9</m:t>
                  </m:r>
                </m:e>
                <m:sub>
                  <m:r>
                    <m:t>o</m:t>
                  </m:r>
                </m:sub>
              </m:sSub>
            </m:oMath>
          </w:p>
        </w:tc>
      </w:tr>
      <w:tr>
        <w:tc>
          <w:tcPr/>
          <w:p>
            <w:pPr>
              <w:pStyle w:val="Compact"/>
              <w:jc w:val="center"/>
            </w:pPr>
            <m:oMath>
              <m:sSub>
                <m:e>
                  <m:r>
                    <m:t>a</m:t>
                  </m:r>
                </m:e>
                <m:sub>
                  <m:r>
                    <m:t>p</m:t>
                  </m:r>
                </m:sub>
              </m:sSub>
            </m:oMath>
          </w:p>
        </w:tc>
        <w:tc>
          <w:tcPr/>
          <w:p>
            <w:pPr>
              <w:pStyle w:val="Compact"/>
              <w:jc w:val="center"/>
            </w:pPr>
            <m:oMath>
              <m:r>
                <m:t>39</m:t>
              </m:r>
            </m:oMath>
          </w:p>
        </w:tc>
        <w:tc>
          <w:tcPr/>
          <w:p>
            <w:pPr>
              <w:pStyle w:val="Compact"/>
              <w:jc w:val="center"/>
            </w:pPr>
            <m:oMath>
              <m:r>
                <m:t>48</m:t>
              </m:r>
            </m:oMath>
          </w:p>
        </w:tc>
        <w:tc>
          <w:tcPr/>
          <w:p>
            <w:pPr>
              <w:pStyle w:val="Compact"/>
              <w:jc w:val="center"/>
            </w:pPr>
            <m:oMath>
              <m:r>
                <m:t>56</m:t>
              </m:r>
            </m:oMath>
          </w:p>
        </w:tc>
        <w:tc>
          <w:tcPr/>
          <w:p>
            <w:pPr>
              <w:pStyle w:val="Compact"/>
              <w:jc w:val="center"/>
            </w:pPr>
            <m:oMath>
              <m:r>
                <m:t>67</m:t>
              </m:r>
            </m:oMath>
          </w:p>
        </w:tc>
        <w:tc>
          <w:tcPr/>
          <w:p>
            <w:pPr>
              <w:pStyle w:val="Compact"/>
              <w:jc w:val="center"/>
            </w:pPr>
            <m:oMath>
              <m:r>
                <m:t>80</m:t>
              </m:r>
            </m:oMath>
          </w:p>
        </w:tc>
        <w:tc>
          <w:tcPr/>
          <w:p>
            <w:pPr>
              <w:pStyle w:val="Compact"/>
              <w:jc w:val="center"/>
            </w:pPr>
            <m:oMath>
              <m:r>
                <m:t>94</m:t>
              </m:r>
            </m:oMath>
          </w:p>
        </w:tc>
        <w:tc>
          <w:tcPr/>
          <w:p>
            <w:pPr>
              <w:pStyle w:val="Compact"/>
              <w:jc w:val="center"/>
            </w:pPr>
            <m:oMath>
              <m:r>
                <m:t>111</m:t>
              </m:r>
            </m:oMath>
          </w:p>
        </w:tc>
        <w:tc>
          <w:tcPr/>
          <w:p>
            <w:pPr>
              <w:pStyle w:val="Compact"/>
              <w:jc w:val="center"/>
            </w:pPr>
            <m:oMath>
              <m:r>
                <m:t>132</m:t>
              </m:r>
            </m:oMath>
          </w:p>
        </w:tc>
        <w:tc>
          <w:tcPr/>
          <w:p>
            <w:pPr>
              <w:pStyle w:val="Compact"/>
              <w:jc w:val="center"/>
            </w:pPr>
            <m:oMath>
              <m:r>
                <m:t>154</m:t>
              </m:r>
            </m:oMath>
          </w:p>
        </w:tc>
        <w:tc>
          <w:tcPr/>
          <w:p>
            <w:pPr>
              <w:pStyle w:val="Compact"/>
              <w:jc w:val="center"/>
            </w:pPr>
            <m:oMath>
              <m:r>
                <m:t>179</m:t>
              </m:r>
            </m:oMath>
          </w:p>
        </w:tc>
        <w:tc>
          <w:tcPr/>
          <w:p>
            <w:pPr>
              <w:pStyle w:val="Compact"/>
              <w:jc w:val="center"/>
            </w:pPr>
            <m:oMath>
              <m:r>
                <m:t>207</m:t>
              </m:r>
            </m:oMath>
          </w:p>
        </w:tc>
        <w:tc>
          <w:tcPr/>
          <w:p>
            <w:pPr>
              <w:pStyle w:val="Compact"/>
              <w:jc w:val="center"/>
            </w:pPr>
            <m:oMath>
              <m:r>
                <m:t>236</m:t>
              </m:r>
            </m:oMath>
          </w:p>
        </w:tc>
        <w:tc>
          <w:tcPr/>
          <w:p>
            <w:pPr>
              <w:pStyle w:val="Compact"/>
              <w:jc w:val="center"/>
            </w:pPr>
            <m:oMath>
              <m:r>
                <m:t>300</m:t>
              </m:r>
            </m:oMath>
          </w:p>
        </w:tc>
        <w:tc>
          <w:tcPr/>
          <w:p>
            <w:pPr>
              <w:pStyle w:val="Compact"/>
              <w:jc w:val="center"/>
            </w:pPr>
            <m:oMath>
              <m:r>
                <m:t>400</m:t>
              </m:r>
            </m:oMath>
          </w:p>
        </w:tc>
      </w:tr>
    </w:tbl>
    <w:bookmarkEnd w:id="35"/>
    <w:bookmarkEnd w:id="36"/>
    <w:bookmarkStart w:id="39" w:name="disturbance-storm-time"/>
    <w:p>
      <w:pPr>
        <w:pStyle w:val="Heading3"/>
      </w:pPr>
      <w:r>
        <w:t xml:space="preserve">Disturbance Storm-Time</w:t>
      </w:r>
    </w:p>
    <w:p>
      <w:pPr>
        <w:pStyle w:val="FirstParagraph"/>
      </w:pPr>
      <w:r>
        <w:t xml:space="preserve">The next relevant parameter is Disturbance Storm-Time (</w:t>
      </w:r>
      <m:oMath>
        <m:r>
          <m:t>D</m:t>
        </m:r>
        <m:r>
          <m:t>s</m:t>
        </m:r>
        <m:r>
          <m:t>t</m:t>
        </m:r>
      </m:oMath>
      <w:r>
        <w:t xml:space="preserve">), also known as the geomagnetic activity</w:t>
      </w:r>
      <w:r>
        <w:t xml:space="preserve"> </w:t>
      </w:r>
      <m:oMath>
        <m:r>
          <m:t>D</m:t>
        </m:r>
        <m:r>
          <m:t>s</m:t>
        </m:r>
        <m:r>
          <m:t>t</m:t>
        </m:r>
      </m:oMath>
      <w:r>
        <w:t xml:space="preserve">-index, another measure of geomagnetic storm intensity.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(Zolesi &amp; Cander, 2014). The</w:t>
      </w:r>
      <w:r>
        <w:t xml:space="preserve"> </w:t>
      </w:r>
      <m:oMath>
        <m:r>
          <m:t>D</m:t>
        </m:r>
        <m:r>
          <m:t>s</m:t>
        </m:r>
        <m:r>
          <m:t>t</m:t>
        </m:r>
      </m:oMath>
      <w:r>
        <w:t xml:space="preserve">-index describes ring currents forming above the sub-equatorial region and affecting the ionospheric regions in mid-latitudes.</w:t>
      </w:r>
    </w:p>
    <w:p>
      <w:pPr>
        <w:pStyle w:val="BodyText"/>
      </w:pPr>
      <w:r>
        <w:t xml:space="preserve">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w:t>
      </w:r>
    </w:p>
    <w:p>
      <w:pPr>
        <w:pStyle w:val="BodyText"/>
      </w:pPr>
      <w:r>
        <w:t xml:space="preserve">The</w:t>
      </w:r>
      <w:r>
        <w:t xml:space="preserve"> </w:t>
      </w:r>
      <m:oMath>
        <m:r>
          <m:t>D</m:t>
        </m:r>
        <m:r>
          <m:t>s</m:t>
        </m:r>
        <m:r>
          <m:t>t</m:t>
        </m:r>
      </m:oMath>
      <w:r>
        <w:t xml:space="preserve">-indice measurements as an hourly average were evaluated and published on a web interface by the NASA Goddard SPDF (Papitashvili, 2024a, Papitashvili, 2024b), and the Geomagnetism and Space Magnetism Data Analysis Center of the Institute of Science, Kyoto University in Japan.</w:t>
      </w:r>
    </w:p>
    <w:p>
      <w:pPr>
        <w:pStyle w:val="BodyText"/>
      </w:pPr>
      <w:r>
        <w:t xml:space="preserve">Loewe and Prölss (Loewe &amp; Prölss, 1997) classified magnetic activity</w:t>
      </w:r>
      <w:r>
        <w:t xml:space="preserve"> </w:t>
      </w:r>
      <m:oMath>
        <m:r>
          <m:t>D</m:t>
        </m:r>
        <m:r>
          <m:t>s</m:t>
        </m:r>
        <m:r>
          <m:t>t</m:t>
        </m:r>
      </m:oMath>
      <w:r>
        <w:t xml:space="preserve">-indices into five storm classes in 1997, as shown in Table </w:t>
      </w:r>
      <w:hyperlink w:anchor="tab:loewe1997">
        <w:r>
          <w:rPr>
            <w:rStyle w:val="Hyperlink"/>
          </w:rPr>
          <w:t xml:space="preserve">6</w:t>
        </w:r>
      </w:hyperlink>
      <w:r>
        <w:t xml:space="preserve">. Gonzalez et al. (Gonzalez et al., 1994) used three groups for the same data in 1994, as shown in Table </w:t>
      </w:r>
      <w:hyperlink w:anchor="tab:gonzalez1994">
        <w:r>
          <w:rPr>
            <w:rStyle w:val="Hyperlink"/>
          </w:rPr>
          <w:t xml:space="preserve">7</w:t>
        </w:r>
      </w:hyperlink>
      <w:r>
        <w:t xml:space="preserve">, similar to Kamide et al. in 1998 (Kamide et al., 1998), Rozhnoi et al. in 2004 (Rozhnoi et al., 2004), and Contadakis et al. in 2012 (Contadakis et al., 2012).</w:t>
      </w:r>
    </w:p>
    <w:bookmarkStart w:id="37" w:name="tab:loewe1997"/>
    <w:p>
      <w:pPr>
        <w:pStyle w:val="TableCaption"/>
      </w:pPr>
      <w:r>
        <w:t xml:space="preserve">Storm classification from Loewe and Prölss, in 1997 (Loewe &amp; Prölss, 1997).</w:t>
      </w:r>
    </w:p>
    <w:tbl>
      <w:tblPr>
        <w:tblStyle w:val="Table"/>
        <w:tblW w:type="auto" w:w="0"/>
        <w:tblLook w:firstRow="0" w:lastRow="0" w:firstColumn="0" w:lastColumn="0" w:noHBand="0" w:noVBand="0" w:val="0000"/>
        <w:tblCaption w:val="Storm classification from Loewe and Prölss, in 1997 (Loewe &amp; Prölss, 1997)."/>
      </w:tblPr>
      <w:tblGrid>
        <w:gridCol w:w="990"/>
        <w:gridCol w:w="990"/>
        <w:gridCol w:w="990"/>
        <w:gridCol w:w="990"/>
        <w:gridCol w:w="990"/>
        <w:gridCol w:w="990"/>
        <w:gridCol w:w="990"/>
        <w:gridCol w:w="990"/>
      </w:tblGrid>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Storm class</w:t>
            </w:r>
          </w:p>
        </w:tc>
        <w:tc>
          <w:tcPr>
            <w:gridSpan w:val="2"/>
          </w:tcPr>
          <w:p>
            <w:pPr>
              <w:pStyle w:val="Compact"/>
              <w:jc w:val="center"/>
            </w:pPr>
            <w:r>
              <w:t xml:space="preserve">Fraction</w:t>
            </w:r>
          </w:p>
        </w:tc>
        <w:tc>
          <w:tcPr/>
          <w:p>
            <w:pPr>
              <w:pStyle w:val="Compact"/>
              <w:jc w:val="right"/>
            </w:pPr>
            <m:oMath>
              <m:r>
                <m:t>D</m:t>
              </m:r>
              <m:r>
                <m:t>s</m:t>
              </m:r>
              <m:sSub>
                <m:e>
                  <m:r>
                    <m:t>t</m:t>
                  </m:r>
                </m:e>
                <m:sub>
                  <m:r>
                    <m:t>m</m:t>
                  </m:r>
                  <m:r>
                    <m:t>i</m:t>
                  </m:r>
                  <m:r>
                    <m:t>n</m:t>
                  </m:r>
                </m:sub>
              </m:sSub>
            </m:oMath>
            <w:r>
              <w:t xml:space="preserve">-Range</w:t>
            </w:r>
          </w:p>
        </w:tc>
        <w:tc>
          <w:tcPr/>
          <w:p>
            <w:pPr>
              <w:pStyle w:val="Compact"/>
              <w:jc w:val="right"/>
            </w:pPr>
            <m:oMath>
              <m:bar>
                <m:barPr>
                  <m:pos m:val="top"/>
                </m:barPr>
                <m:e>
                  <m:r>
                    <m:t>D</m:t>
                  </m:r>
                  <m:r>
                    <m:t>s</m:t>
                  </m:r>
                  <m:sSub>
                    <m:e>
                      <m:r>
                        <m:t>t</m:t>
                      </m:r>
                    </m:e>
                    <m:sub>
                      <m:r>
                        <m:t>m</m:t>
                      </m:r>
                      <m:r>
                        <m:t>i</m:t>
                      </m:r>
                      <m:r>
                        <m:t>n</m:t>
                      </m:r>
                    </m:sub>
                  </m:sSub>
                </m:e>
              </m:bar>
            </m:oMath>
          </w:p>
        </w:tc>
        <w:tc>
          <w:tcPr/>
          <w:p>
            <w:pPr>
              <w:pStyle w:val="Compact"/>
              <w:jc w:val="right"/>
            </w:pPr>
            <m:oMath>
              <m:bar>
                <m:barPr>
                  <m:pos m:val="top"/>
                </m:barPr>
                <m:e>
                  <m:sSub>
                    <m:e>
                      <m:r>
                        <m:t>a</m:t>
                      </m:r>
                    </m:e>
                    <m:sub>
                      <m:sSub>
                        <m:e>
                          <m:r>
                            <m:t>p</m:t>
                          </m:r>
                        </m:e>
                        <m:sub>
                          <m:r>
                            <m:t>m</m:t>
                          </m:r>
                          <m:r>
                            <m:t>a</m:t>
                          </m:r>
                          <m:r>
                            <m:t>x</m:t>
                          </m:r>
                        </m:sub>
                      </m:sSub>
                    </m:sub>
                  </m:sSub>
                </m:e>
              </m:bar>
            </m:oMath>
          </w:p>
        </w:tc>
        <w:tc>
          <w:tcPr/>
          <w:p>
            <w:pPr>
              <w:pStyle w:val="Compact"/>
              <w:jc w:val="center"/>
            </w:pPr>
            <m:oMath>
              <m:bar>
                <m:barPr>
                  <m:pos m:val="top"/>
                </m:barPr>
                <m:e>
                  <m:sSub>
                    <m:e>
                      <m:r>
                        <m:t>K</m:t>
                      </m:r>
                    </m:e>
                    <m:sub>
                      <m:sSub>
                        <m:e>
                          <m:r>
                            <m:t>p</m:t>
                          </m:r>
                        </m:e>
                        <m:sub>
                          <m:r>
                            <m:t>m</m:t>
                          </m:r>
                          <m:r>
                            <m:t>a</m:t>
                          </m:r>
                          <m:r>
                            <m:t>x</m:t>
                          </m:r>
                        </m:sub>
                      </m:sSub>
                    </m:sub>
                  </m:sSub>
                </m:e>
              </m:bar>
            </m:oMath>
          </w:p>
        </w:tc>
        <w:tc>
          <w:tcPr/>
          <w:p>
            <w:pPr>
              <w:pStyle w:val="Compact"/>
              <w:jc w:val="right"/>
            </w:pPr>
            <m:oMath>
              <m:bar>
                <m:barPr>
                  <m:pos m:val="top"/>
                </m:barPr>
                <m:e>
                  <m:sSub>
                    <m:e>
                      <m:r>
                        <m:t>A</m:t>
                      </m:r>
                    </m:e>
                    <m:sub>
                      <m:sSub>
                        <m:e>
                          <m:r>
                            <m:t>E</m:t>
                          </m:r>
                        </m:e>
                        <m:sub>
                          <m:r>
                            <m:t>m</m:t>
                          </m:r>
                          <m:r>
                            <m:t>a</m:t>
                          </m:r>
                          <m:r>
                            <m:t>x</m:t>
                          </m:r>
                        </m:sub>
                      </m:sSub>
                    </m:sub>
                  </m:sSub>
                </m:e>
              </m:ba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weak</w:t>
            </w:r>
          </w:p>
        </w:tc>
        <w:tc>
          <w:tcPr/>
          <w:p>
            <w:pPr>
              <w:pStyle w:val="Compact"/>
              <w:jc w:val="right"/>
            </w:pPr>
            <m:oMath>
              <m:r>
                <m:t>482</m:t>
              </m:r>
            </m:oMath>
          </w:p>
        </w:tc>
        <w:tc>
          <w:tcPr/>
          <w:p>
            <w:pPr>
              <w:pStyle w:val="Compact"/>
              <w:jc w:val="right"/>
            </w:pPr>
            <m:oMath>
              <m:r>
                <m:t>44</m:t>
              </m:r>
              <m:r>
                <m:rPr>
                  <m:sty m:val="p"/>
                </m:rPr>
                <m:t>%</m:t>
              </m:r>
            </m:oMath>
          </w:p>
        </w:tc>
        <w:tc>
          <w:tcPr/>
          <w:p>
            <w:pPr>
              <w:pStyle w:val="Compact"/>
              <w:jc w:val="right"/>
            </w:pPr>
            <m:oMath>
              <m:r>
                <m:rPr>
                  <m:sty m:val="p"/>
                </m:rPr>
                <m:t>−</m:t>
              </m:r>
              <m:r>
                <m:t>30</m:t>
              </m:r>
            </m:oMath>
            <w:r>
              <w:t xml:space="preserve"> </w:t>
            </w:r>
            <w:r>
              <w:t xml:space="preserve">to</w:t>
            </w:r>
            <w:r>
              <w:t xml:space="preserve"> </w:t>
            </w:r>
            <m:oMath>
              <m:r>
                <m:rPr>
                  <m:sty m:val="p"/>
                </m:rPr>
                <m:t>−</m:t>
              </m:r>
              <m:r>
                <m:t>50</m:t>
              </m:r>
            </m:oMath>
            <w:r>
              <w:t xml:space="preserve"> </w:t>
            </w:r>
            <m:oMath>
              <m:r>
                <m:t>n</m:t>
              </m:r>
              <m:r>
                <m:t>T</m:t>
              </m:r>
            </m:oMath>
          </w:p>
        </w:tc>
        <w:tc>
          <w:tcPr/>
          <w:p>
            <w:pPr>
              <w:pStyle w:val="Compact"/>
              <w:jc w:val="right"/>
            </w:pPr>
            <m:oMath>
              <m:r>
                <m:rPr>
                  <m:sty m:val="p"/>
                </m:rPr>
                <m:t>−</m:t>
              </m:r>
              <m:r>
                <m:t>36</m:t>
              </m:r>
            </m:oMath>
            <w:r>
              <w:t xml:space="preserve"> </w:t>
            </w:r>
            <m:oMath>
              <m:r>
                <m:t>n</m:t>
              </m:r>
              <m:r>
                <m:t>T</m:t>
              </m:r>
            </m:oMath>
          </w:p>
        </w:tc>
        <w:tc>
          <w:tcPr/>
          <w:p>
            <w:pPr>
              <w:pStyle w:val="Compact"/>
              <w:jc w:val="right"/>
            </w:pPr>
            <m:oMath>
              <m:r>
                <m:t>27</m:t>
              </m:r>
            </m:oMath>
          </w:p>
        </w:tc>
        <w:tc>
          <w:tcPr/>
          <w:p>
            <w:pPr>
              <w:pStyle w:val="Compact"/>
              <w:jc w:val="center"/>
            </w:pPr>
            <m:oMath>
              <m:sSub>
                <m:e>
                  <m:r>
                    <m:t>4</m:t>
                  </m:r>
                </m:e>
                <m:sub>
                  <m:r>
                    <m:t>o</m:t>
                  </m:r>
                </m:sub>
              </m:sSub>
            </m:oMath>
          </w:p>
        </w:tc>
        <w:tc>
          <w:tcPr/>
          <w:p>
            <w:pPr>
              <w:pStyle w:val="Compact"/>
              <w:jc w:val="right"/>
            </w:pPr>
            <m:oMath>
              <m:r>
                <m:t>542</m:t>
              </m:r>
            </m:oMath>
            <w:r>
              <w:t xml:space="preserve"> </w:t>
            </w:r>
            <m:oMath>
              <m:r>
                <m:t>n</m:t>
              </m:r>
              <m:r>
                <m:t>T</m:t>
              </m:r>
            </m:oMath>
          </w:p>
        </w:tc>
      </w:tr>
      <w:tr>
        <w:tc>
          <w:tcPr/>
          <w:p>
            <w:pPr>
              <w:pStyle w:val="Compact"/>
              <w:jc w:val="left"/>
            </w:pPr>
            <w:r>
              <w:t xml:space="preserve">moderate</w:t>
            </w:r>
          </w:p>
        </w:tc>
        <w:tc>
          <w:tcPr/>
          <w:p>
            <w:pPr>
              <w:pStyle w:val="Compact"/>
              <w:jc w:val="right"/>
            </w:pPr>
            <m:oMath>
              <m:r>
                <m:t>346</m:t>
              </m:r>
            </m:oMath>
          </w:p>
        </w:tc>
        <w:tc>
          <w:tcPr/>
          <w:p>
            <w:pPr>
              <w:pStyle w:val="Compact"/>
              <w:jc w:val="right"/>
            </w:pPr>
            <m:oMath>
              <m:r>
                <m:t>32</m:t>
              </m:r>
              <m:r>
                <m:rPr>
                  <m:sty m:val="p"/>
                </m:rPr>
                <m:t>%</m:t>
              </m:r>
            </m:oMath>
          </w:p>
        </w:tc>
        <w:tc>
          <w:tcPr/>
          <w:p>
            <w:pPr>
              <w:pStyle w:val="Compact"/>
              <w:jc w:val="right"/>
            </w:pPr>
            <m:oMath>
              <m:r>
                <m:rPr>
                  <m:sty m:val="p"/>
                </m:rPr>
                <m:t>−</m:t>
              </m:r>
              <m:r>
                <m:t>50</m:t>
              </m:r>
            </m:oMath>
            <w:r>
              <w:t xml:space="preserve"> </w:t>
            </w:r>
            <w:r>
              <w:t xml:space="preserve">to</w:t>
            </w:r>
            <w:r>
              <w:t xml:space="preserve"> </w:t>
            </w:r>
            <m:oMath>
              <m:r>
                <m:rPr>
                  <m:sty m:val="p"/>
                </m:rPr>
                <m:t>−</m:t>
              </m:r>
              <m:r>
                <m:t>100</m:t>
              </m:r>
            </m:oMath>
            <w:r>
              <w:t xml:space="preserve"> </w:t>
            </w:r>
            <m:oMath>
              <m:r>
                <m:t>n</m:t>
              </m:r>
              <m:r>
                <m:t>T</m:t>
              </m:r>
            </m:oMath>
          </w:p>
        </w:tc>
        <w:tc>
          <w:tcPr/>
          <w:p>
            <w:pPr>
              <w:pStyle w:val="Compact"/>
              <w:jc w:val="right"/>
            </w:pPr>
            <m:oMath>
              <m:r>
                <m:rPr>
                  <m:sty m:val="p"/>
                </m:rPr>
                <m:t>−</m:t>
              </m:r>
              <m:r>
                <m:t>68</m:t>
              </m:r>
            </m:oMath>
            <w:r>
              <w:t xml:space="preserve"> </w:t>
            </w:r>
            <m:oMath>
              <m:r>
                <m:t>n</m:t>
              </m:r>
              <m:r>
                <m:t>T</m:t>
              </m:r>
            </m:oMath>
          </w:p>
        </w:tc>
        <w:tc>
          <w:tcPr/>
          <w:p>
            <w:pPr>
              <w:pStyle w:val="Compact"/>
              <w:jc w:val="right"/>
            </w:pPr>
            <m:oMath>
              <m:r>
                <m:t>48</m:t>
              </m:r>
            </m:oMath>
          </w:p>
        </w:tc>
        <w:tc>
          <w:tcPr/>
          <w:p>
            <w:pPr>
              <w:pStyle w:val="Compact"/>
              <w:jc w:val="center"/>
            </w:pPr>
            <m:oMath>
              <m:sSub>
                <m:e>
                  <m:r>
                    <m:t>5</m:t>
                  </m:r>
                </m:e>
                <m:sub>
                  <m:r>
                    <m:t>o</m:t>
                  </m:r>
                </m:sub>
              </m:sSub>
            </m:oMath>
          </w:p>
        </w:tc>
        <w:tc>
          <w:tcPr/>
          <w:p>
            <w:pPr>
              <w:pStyle w:val="Compact"/>
              <w:jc w:val="right"/>
            </w:pPr>
            <m:oMath>
              <m:r>
                <m:t>728</m:t>
              </m:r>
            </m:oMath>
            <w:r>
              <w:t xml:space="preserve"> </w:t>
            </w:r>
            <m:oMath>
              <m:r>
                <m:t>n</m:t>
              </m:r>
              <m:r>
                <m:t>T</m:t>
              </m:r>
            </m:oMath>
          </w:p>
        </w:tc>
      </w:tr>
      <w:tr>
        <w:tc>
          <w:tcPr/>
          <w:p>
            <w:pPr>
              <w:pStyle w:val="Compact"/>
              <w:jc w:val="left"/>
            </w:pPr>
            <w:r>
              <w:t xml:space="preserve">strong</w:t>
            </w:r>
          </w:p>
        </w:tc>
        <w:tc>
          <w:tcPr/>
          <w:p>
            <w:pPr>
              <w:pStyle w:val="Compact"/>
              <w:jc w:val="right"/>
            </w:pPr>
            <m:oMath>
              <m:r>
                <m:t>206</m:t>
              </m:r>
            </m:oMath>
          </w:p>
        </w:tc>
        <w:tc>
          <w:tcPr/>
          <w:p>
            <w:pPr>
              <w:pStyle w:val="Compact"/>
              <w:jc w:val="right"/>
            </w:pPr>
            <m:oMath>
              <m:r>
                <m:t>19</m:t>
              </m:r>
              <m:r>
                <m:rPr>
                  <m:sty m:val="p"/>
                </m:rPr>
                <m:t>%</m:t>
              </m:r>
            </m:oMath>
          </w:p>
        </w:tc>
        <w:tc>
          <w:tcPr/>
          <w:p>
            <w:pPr>
              <w:pStyle w:val="Compact"/>
              <w:jc w:val="right"/>
            </w:pPr>
            <m:oMath>
              <m:r>
                <m:rPr>
                  <m:sty m:val="p"/>
                </m:rPr>
                <m:t>−</m:t>
              </m:r>
              <m:r>
                <m:t>100</m:t>
              </m:r>
            </m:oMath>
            <w:r>
              <w:t xml:space="preserve"> </w:t>
            </w:r>
            <w:r>
              <w:t xml:space="preserve">to</w:t>
            </w:r>
            <w:r>
              <w:t xml:space="preserve"> </w:t>
            </w:r>
            <m:oMath>
              <m:r>
                <m:rPr>
                  <m:sty m:val="p"/>
                </m:rPr>
                <m:t>−</m:t>
              </m:r>
              <m:r>
                <m:t>200</m:t>
              </m:r>
            </m:oMath>
            <w:r>
              <w:t xml:space="preserve"> </w:t>
            </w:r>
            <m:oMath>
              <m:r>
                <m:t>n</m:t>
              </m:r>
              <m:r>
                <m:t>T</m:t>
              </m:r>
            </m:oMath>
          </w:p>
        </w:tc>
        <w:tc>
          <w:tcPr/>
          <w:p>
            <w:pPr>
              <w:pStyle w:val="Compact"/>
              <w:jc w:val="right"/>
            </w:pPr>
            <m:oMath>
              <m:r>
                <m:rPr>
                  <m:sty m:val="p"/>
                </m:rPr>
                <m:t>−</m:t>
              </m:r>
              <m:r>
                <m:t>131</m:t>
              </m:r>
            </m:oMath>
            <w:r>
              <w:t xml:space="preserve"> </w:t>
            </w:r>
            <m:oMath>
              <m:r>
                <m:t>n</m:t>
              </m:r>
              <m:r>
                <m:t>T</m:t>
              </m:r>
            </m:oMath>
          </w:p>
        </w:tc>
        <w:tc>
          <w:tcPr/>
          <w:p>
            <w:pPr>
              <w:pStyle w:val="Compact"/>
              <w:jc w:val="right"/>
            </w:pPr>
            <m:oMath>
              <m:r>
                <m:t>111</m:t>
              </m:r>
            </m:oMath>
          </w:p>
        </w:tc>
        <w:tc>
          <w:tcPr/>
          <w:p>
            <w:pPr>
              <w:pStyle w:val="Compact"/>
              <w:jc w:val="center"/>
            </w:pPr>
            <m:oMath>
              <m:sSub>
                <m:e>
                  <m:r>
                    <m:t>7</m:t>
                  </m:r>
                </m:e>
                <m:sub>
                  <m:r>
                    <m:rPr>
                      <m:sty m:val="p"/>
                    </m:rPr>
                    <m:t>−</m:t>
                  </m:r>
                </m:sub>
              </m:sSub>
            </m:oMath>
          </w:p>
        </w:tc>
        <w:tc>
          <w:tcPr/>
          <w:p>
            <w:pPr>
              <w:pStyle w:val="Compact"/>
              <w:jc w:val="right"/>
            </w:pPr>
            <m:oMath>
              <m:r>
                <m:t>849</m:t>
              </m:r>
            </m:oMath>
            <w:r>
              <w:t xml:space="preserve"> </w:t>
            </w:r>
            <m:oMath>
              <m:r>
                <m:t>n</m:t>
              </m:r>
              <m:r>
                <m:t>T</m:t>
              </m:r>
            </m:oMath>
          </w:p>
        </w:tc>
      </w:tr>
      <w:tr>
        <w:tc>
          <w:tcPr/>
          <w:p>
            <w:pPr>
              <w:pStyle w:val="Compact"/>
              <w:jc w:val="left"/>
            </w:pPr>
            <w:r>
              <w:t xml:space="preserve">severe</w:t>
            </w:r>
          </w:p>
        </w:tc>
        <w:tc>
          <w:tcPr/>
          <w:p>
            <w:pPr>
              <w:pStyle w:val="Compact"/>
              <w:jc w:val="right"/>
            </w:pPr>
            <m:oMath>
              <m:r>
                <m:t>45</m:t>
              </m:r>
            </m:oMath>
          </w:p>
        </w:tc>
        <w:tc>
          <w:tcPr/>
          <w:p>
            <w:pPr>
              <w:pStyle w:val="Compact"/>
              <w:jc w:val="right"/>
            </w:pPr>
            <m:oMath>
              <m:r>
                <m:t>4</m:t>
              </m:r>
              <m:r>
                <m:rPr>
                  <m:sty m:val="p"/>
                </m:rPr>
                <m:t>%</m:t>
              </m:r>
            </m:oMath>
          </w:p>
        </w:tc>
        <w:tc>
          <w:tcPr/>
          <w:p>
            <w:pPr>
              <w:pStyle w:val="Compact"/>
              <w:jc w:val="right"/>
            </w:pPr>
            <m:oMath>
              <m:r>
                <m:rPr>
                  <m:sty m:val="p"/>
                </m:rPr>
                <m:t>−</m:t>
              </m:r>
              <m:r>
                <m:t>200</m:t>
              </m:r>
            </m:oMath>
            <w:r>
              <w:t xml:space="preserve"> </w:t>
            </w:r>
            <w:r>
              <w:t xml:space="preserve">to</w:t>
            </w:r>
            <w:r>
              <w:t xml:space="preserve"> </w:t>
            </w:r>
            <m:oMath>
              <m:r>
                <m:rPr>
                  <m:sty m:val="p"/>
                </m:rPr>
                <m:t>−</m:t>
              </m:r>
              <m:r>
                <m:t>350</m:t>
              </m:r>
            </m:oMath>
            <w:r>
              <w:t xml:space="preserve"> </w:t>
            </w:r>
            <m:oMath>
              <m:r>
                <m:t>n</m:t>
              </m:r>
              <m:r>
                <m:t>T</m:t>
              </m:r>
            </m:oMath>
          </w:p>
        </w:tc>
        <w:tc>
          <w:tcPr/>
          <w:p>
            <w:pPr>
              <w:pStyle w:val="Compact"/>
              <w:jc w:val="right"/>
            </w:pPr>
            <m:oMath>
              <m:r>
                <m:rPr>
                  <m:sty m:val="p"/>
                </m:rPr>
                <m:t>−</m:t>
              </m:r>
              <m:r>
                <m:t>254</m:t>
              </m:r>
            </m:oMath>
            <w:r>
              <w:t xml:space="preserve"> </w:t>
            </w:r>
            <m:oMath>
              <m:r>
                <m:t>n</m:t>
              </m:r>
              <m:r>
                <m:t>T</m:t>
              </m:r>
            </m:oMath>
          </w:p>
        </w:tc>
        <w:tc>
          <w:tcPr/>
          <w:p>
            <w:pPr>
              <w:pStyle w:val="Compact"/>
              <w:jc w:val="right"/>
            </w:pPr>
            <m:oMath>
              <m:r>
                <m:t>236</m:t>
              </m:r>
            </m:oMath>
          </w:p>
        </w:tc>
        <w:tc>
          <w:tcPr/>
          <w:p>
            <w:pPr>
              <w:pStyle w:val="Compact"/>
              <w:jc w:val="center"/>
            </w:pPr>
            <m:oMath>
              <m:sSub>
                <m:e>
                  <m:r>
                    <m:t>8</m:t>
                  </m:r>
                </m:e>
                <m:sub>
                  <m:r>
                    <m:rPr>
                      <m:sty m:val="p"/>
                    </m:rPr>
                    <m:t>+</m:t>
                  </m:r>
                </m:sub>
              </m:sSub>
            </m:oMath>
          </w:p>
        </w:tc>
        <w:tc>
          <w:tcPr/>
          <w:p>
            <w:pPr>
              <w:pStyle w:val="Compact"/>
              <w:jc w:val="right"/>
            </w:pPr>
            <m:oMath>
              <m:r>
                <m:t>1017</m:t>
              </m:r>
            </m:oMath>
            <w:r>
              <w:t xml:space="preserve"> </w:t>
            </w:r>
            <m:oMath>
              <m:r>
                <m:t>n</m:t>
              </m:r>
              <m:r>
                <m:t>T</m:t>
              </m:r>
            </m:oMath>
          </w:p>
        </w:tc>
      </w:tr>
      <w:tr>
        <w:tc>
          <w:tcPr/>
          <w:p>
            <w:pPr>
              <w:pStyle w:val="Compact"/>
              <w:jc w:val="left"/>
            </w:pPr>
            <w:r>
              <w:t xml:space="preserve">great</w:t>
            </w:r>
          </w:p>
        </w:tc>
        <w:tc>
          <w:tcPr/>
          <w:p>
            <w:pPr>
              <w:pStyle w:val="Compact"/>
              <w:jc w:val="right"/>
            </w:pPr>
            <m:oMath>
              <m:r>
                <m:t>6</m:t>
              </m:r>
            </m:oMath>
          </w:p>
        </w:tc>
        <w:tc>
          <w:tcPr/>
          <w:p>
            <w:pPr>
              <w:pStyle w:val="Compact"/>
              <w:jc w:val="right"/>
            </w:pPr>
            <m:oMath>
              <m:r>
                <m:t>1</m:t>
              </m:r>
              <m:r>
                <m:rPr>
                  <m:sty m:val="p"/>
                </m:rPr>
                <m:t>%</m:t>
              </m:r>
            </m:oMath>
          </w:p>
        </w:tc>
        <w:tc>
          <w:tcPr/>
          <w:p>
            <w:pPr>
              <w:pStyle w:val="Compact"/>
              <w:jc w:val="right"/>
            </w:pPr>
            <m:oMath>
              <m:r>
                <m:rPr>
                  <m:sty m:val="p"/>
                </m:rPr>
                <m:t>&lt;</m:t>
              </m:r>
              <m:r>
                <m:rPr>
                  <m:sty m:val="p"/>
                </m:rPr>
                <m:t>−</m:t>
              </m:r>
              <m:r>
                <m:t>350</m:t>
              </m:r>
            </m:oMath>
            <w:r>
              <w:t xml:space="preserve"> </w:t>
            </w:r>
            <m:oMath>
              <m:r>
                <m:t>n</m:t>
              </m:r>
              <m:r>
                <m:t>T</m:t>
              </m:r>
            </m:oMath>
          </w:p>
        </w:tc>
        <w:tc>
          <w:tcPr/>
          <w:p>
            <w:pPr>
              <w:pStyle w:val="Compact"/>
              <w:jc w:val="right"/>
            </w:pPr>
            <m:oMath>
              <m:r>
                <m:rPr>
                  <m:sty m:val="p"/>
                </m:rPr>
                <m:t>−</m:t>
              </m:r>
              <m:r>
                <m:t>427</m:t>
              </m:r>
            </m:oMath>
            <w:r>
              <w:t xml:space="preserve"> </w:t>
            </w:r>
            <m:oMath>
              <m:r>
                <m:t>n</m:t>
              </m:r>
              <m:r>
                <m:t>T</m:t>
              </m:r>
            </m:oMath>
          </w:p>
        </w:tc>
        <w:tc>
          <w:tcPr/>
          <w:p>
            <w:pPr>
              <w:pStyle w:val="Compact"/>
              <w:jc w:val="right"/>
            </w:pPr>
            <m:oMath>
              <m:r>
                <m:t>300</m:t>
              </m:r>
            </m:oMath>
          </w:p>
        </w:tc>
        <w:tc>
          <w:tcPr/>
          <w:p>
            <w:pPr>
              <w:pStyle w:val="Compact"/>
              <w:jc w:val="center"/>
            </w:pPr>
            <m:oMath>
              <m:sSub>
                <m:e>
                  <m:r>
                    <m:t>9</m:t>
                  </m:r>
                </m:e>
                <m:sub>
                  <m:r>
                    <m:rPr>
                      <m:sty m:val="p"/>
                    </m:rPr>
                    <m:t>−</m:t>
                  </m:r>
                </m:sub>
              </m:sSub>
            </m:oMath>
          </w:p>
        </w:tc>
        <w:tc>
          <w:tcPr/>
          <w:p>
            <w:pPr>
              <w:pStyle w:val="Compact"/>
              <w:jc w:val="right"/>
            </w:pPr>
            <m:oMath>
              <m:r>
                <m:t>1335</m:t>
              </m:r>
            </m:oMath>
            <w:r>
              <w:t xml:space="preserve"> </w:t>
            </w:r>
            <m:oMath>
              <m:r>
                <m:t>n</m:t>
              </m:r>
              <m:r>
                <m:t>T</m:t>
              </m: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8"/>
          </w:tcPr>
          <w:p>
            <w:pPr>
              <w:pStyle w:val="Compact"/>
              <w:jc w:val="left"/>
            </w:pPr>
            <w:r>
              <w:t xml:space="preserve">The bars above the magnetic indices indicate median values.</w:t>
            </w:r>
          </w:p>
        </w:tc>
      </w:tr>
    </w:tbl>
    <w:bookmarkEnd w:id="37"/>
    <w:bookmarkStart w:id="38" w:name="tab:gonzalez1994"/>
    <w:p>
      <w:pPr>
        <w:pStyle w:val="TableCaption"/>
      </w:pPr>
      <w:r>
        <w:t xml:space="preserve">Storm classification from Gonzales et al., in 1994 (Gonzalez et al., 1994).</w:t>
      </w:r>
    </w:p>
    <w:tbl>
      <w:tblPr>
        <w:tblStyle w:val="Table"/>
        <w:tblW w:type="auto" w:w="0"/>
        <w:tblLook w:firstRow="0" w:lastRow="0" w:firstColumn="0" w:lastColumn="0" w:noHBand="0" w:noVBand="0" w:val="0000"/>
        <w:tblCaption w:val="Storm classification from Gonzales et al., in 1994 (Gonzalez et al., 1994)."/>
      </w:tblPr>
      <w:tblGrid>
        <w:gridCol w:w="1980"/>
        <w:gridCol w:w="1980"/>
        <w:gridCol w:w="1980"/>
        <w:gridCol w:w="1980"/>
      </w:tblGrid>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right"/>
            </w:pPr>
            <m:oMath>
              <m:r>
                <m:t>D</m:t>
              </m:r>
              <m:r>
                <m:t>s</m:t>
              </m:r>
              <m:r>
                <m:t>t</m:t>
              </m:r>
            </m:oMath>
            <w:r>
              <w:t xml:space="preserve">,</w:t>
            </w:r>
            <w:r>
              <w:t xml:space="preserve"> </w:t>
            </w:r>
            <m:oMath>
              <m:r>
                <m:t>n</m:t>
              </m:r>
              <m:r>
                <m:t>T</m:t>
              </m:r>
            </m:oMath>
          </w:p>
        </w:tc>
        <w:tc>
          <w:tcPr/>
          <w:p>
            <w:pPr>
              <w:pStyle w:val="Compact"/>
              <w:jc w:val="right"/>
            </w:pPr>
            <m:oMath>
              <m:sSub>
                <m:e>
                  <m:r>
                    <m:t>B</m:t>
                  </m:r>
                </m:e>
                <m:sub>
                  <m:r>
                    <m:t>z</m:t>
                  </m:r>
                </m:sub>
              </m:sSub>
            </m:oMath>
            <w:r>
              <w:t xml:space="preserve">,</w:t>
            </w:r>
            <w:r>
              <w:t xml:space="preserve"> </w:t>
            </w:r>
            <m:oMath>
              <m:r>
                <m:t>n</m:t>
              </m:r>
              <m:r>
                <m:t>T</m:t>
              </m:r>
            </m:oMath>
          </w:p>
        </w:tc>
        <w:tc>
          <w:tcPr/>
          <w:p>
            <w:pPr>
              <w:pStyle w:val="Compact"/>
              <w:jc w:val="center"/>
            </w:pPr>
            <m:oMath>
              <m:r>
                <m:t>Δ</m:t>
              </m:r>
              <m:r>
                <m:t>T</m:t>
              </m:r>
            </m:oMath>
            <w:r>
              <w:t xml:space="preserve">, hours</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Intense</w:t>
            </w:r>
          </w:p>
        </w:tc>
        <w:tc>
          <w:tcPr/>
          <w:p>
            <w:pPr>
              <w:pStyle w:val="Compact"/>
              <w:jc w:val="right"/>
            </w:pPr>
            <m:oMath>
              <m:r>
                <m:rPr>
                  <m:sty m:val="p"/>
                </m:rPr>
                <m:t>−</m:t>
              </m:r>
              <m:r>
                <m:t>100</m:t>
              </m:r>
            </m:oMath>
          </w:p>
        </w:tc>
        <w:tc>
          <w:tcPr/>
          <w:p>
            <w:pPr>
              <w:pStyle w:val="Compact"/>
              <w:jc w:val="right"/>
            </w:pPr>
            <m:oMath>
              <m:r>
                <m:rPr>
                  <m:sty m:val="p"/>
                </m:rPr>
                <m:t>−</m:t>
              </m:r>
              <m:r>
                <m:t>10</m:t>
              </m:r>
            </m:oMath>
          </w:p>
        </w:tc>
        <w:tc>
          <w:tcPr/>
          <w:p>
            <w:pPr>
              <w:pStyle w:val="Compact"/>
              <w:jc w:val="center"/>
            </w:pPr>
            <m:oMath>
              <m:r>
                <m:t>3</m:t>
              </m:r>
            </m:oMath>
          </w:p>
        </w:tc>
      </w:tr>
      <w:tr>
        <w:tc>
          <w:tcPr/>
          <w:p>
            <w:pPr>
              <w:pStyle w:val="Compact"/>
              <w:jc w:val="left"/>
            </w:pPr>
            <w:r>
              <w:t xml:space="preserve">Moderate</w:t>
            </w:r>
          </w:p>
        </w:tc>
        <w:tc>
          <w:tcPr/>
          <w:p>
            <w:pPr>
              <w:pStyle w:val="Compact"/>
              <w:jc w:val="right"/>
            </w:pPr>
            <m:oMath>
              <m:r>
                <m:rPr>
                  <m:sty m:val="p"/>
                </m:rPr>
                <m:t>−</m:t>
              </m:r>
              <m:r>
                <m:t>50</m:t>
              </m:r>
            </m:oMath>
          </w:p>
        </w:tc>
        <w:tc>
          <w:tcPr/>
          <w:p>
            <w:pPr>
              <w:pStyle w:val="Compact"/>
              <w:jc w:val="right"/>
            </w:pPr>
            <m:oMath>
              <m:r>
                <m:rPr>
                  <m:sty m:val="p"/>
                </m:rPr>
                <m:t>−</m:t>
              </m:r>
              <m:r>
                <m:t>5</m:t>
              </m:r>
            </m:oMath>
          </w:p>
        </w:tc>
        <w:tc>
          <w:tcPr/>
          <w:p>
            <w:pPr>
              <w:pStyle w:val="Compact"/>
              <w:jc w:val="center"/>
            </w:pPr>
            <m:oMath>
              <m:r>
                <m:t>2</m:t>
              </m:r>
            </m:oMath>
          </w:p>
        </w:tc>
      </w:tr>
      <w:tr>
        <w:tc>
          <w:tcPr/>
          <w:p>
            <w:pPr>
              <w:pStyle w:val="Compact"/>
              <w:jc w:val="left"/>
            </w:pPr>
            <w:r>
              <w:t xml:space="preserve">Small (typical substorm)</w:t>
            </w:r>
          </w:p>
        </w:tc>
        <w:tc>
          <w:tcPr/>
          <w:p>
            <w:pPr>
              <w:pStyle w:val="Compact"/>
              <w:jc w:val="right"/>
            </w:pPr>
            <m:oMath>
              <m:r>
                <m:rPr>
                  <m:sty m:val="p"/>
                </m:rPr>
                <m:t>−</m:t>
              </m:r>
              <m:r>
                <m:t>30</m:t>
              </m:r>
            </m:oMath>
          </w:p>
        </w:tc>
        <w:tc>
          <w:tcPr/>
          <w:p>
            <w:pPr>
              <w:pStyle w:val="Compact"/>
              <w:jc w:val="right"/>
            </w:pPr>
            <m:oMath>
              <m:r>
                <m:rPr>
                  <m:sty m:val="p"/>
                </m:rPr>
                <m:t>−</m:t>
              </m:r>
              <m:r>
                <m:t>3</m:t>
              </m:r>
            </m:oMath>
          </w:p>
        </w:tc>
        <w:tc>
          <w:tcPr/>
          <w:p>
            <w:pPr>
              <w:pStyle w:val="Compact"/>
              <w:jc w:val="center"/>
            </w:pPr>
            <m:oMath>
              <m:r>
                <m:t>1</m:t>
              </m:r>
            </m:oMath>
          </w:p>
        </w:tc>
      </w:tr>
      <w:tr>
        <w:tc>
          <w:tcPr/>
          <w:p>
            <w:pPr>
              <w:pStyle w:val="Compact"/>
            </w:pPr>
          </w:p>
        </w:tc>
        <w:tc>
          <w:tcPr/>
          <w:p>
            <w:pPr>
              <w:pStyle w:val="Compact"/>
            </w:pPr>
          </w:p>
        </w:tc>
        <w:tc>
          <w:tcPr/>
          <w:p>
            <w:pPr>
              <w:pStyle w:val="Compact"/>
            </w:pPr>
          </w:p>
        </w:tc>
        <w:tc>
          <w:tcPr/>
          <w:p>
            <w:pPr>
              <w:pStyle w:val="Compact"/>
            </w:pPr>
          </w:p>
        </w:tc>
      </w:tr>
    </w:tbl>
    <w:bookmarkEnd w:id="38"/>
    <w:bookmarkEnd w:id="39"/>
    <w:bookmarkStart w:id="41" w:name="training-and-testing-dataset"/>
    <w:p>
      <w:pPr>
        <w:pStyle w:val="Heading3"/>
      </w:pPr>
      <w:r>
        <w:t xml:space="preserve">Training and Testing Dataset</w:t>
      </w:r>
    </w:p>
    <w:p>
      <w:pPr>
        <w:pStyle w:val="FirstParagraph"/>
      </w:pPr>
      <w:r>
        <w:t xml:space="preserve">Among</w:t>
      </w:r>
      <w:r>
        <w:t xml:space="preserve"> </w:t>
      </w:r>
      <m:oMath>
        <m:r>
          <m:t>9799</m:t>
        </m:r>
      </m:oMath>
      <w:r>
        <w:t xml:space="preserve"> </w:t>
      </w:r>
      <w:r>
        <w:t xml:space="preserve">samples,</w:t>
      </w:r>
      <w:r>
        <w:t xml:space="preserve"> </w:t>
      </w:r>
      <m:oMath>
        <m:r>
          <m:t>208</m:t>
        </m:r>
      </m:oMath>
      <w:r>
        <w:t xml:space="preserve"> </w:t>
      </w:r>
      <w:r>
        <w:t xml:space="preserve">were considered outliers because the</w:t>
      </w:r>
      <w:r>
        <w:t xml:space="preserve"> </w:t>
      </w:r>
      <m:oMath>
        <m:r>
          <m:t>T</m:t>
        </m:r>
        <m:r>
          <m:t>E</m:t>
        </m:r>
        <m:r>
          <m:t>C</m:t>
        </m:r>
      </m:oMath>
      <w:r>
        <w:t xml:space="preserve"> </w:t>
      </w:r>
      <w:r>
        <w:t xml:space="preserve">is larger than or equal to</w:t>
      </w:r>
      <w:r>
        <w:t xml:space="preserve"> </w:t>
      </w:r>
      <m:oMath>
        <m:r>
          <m:t>300</m:t>
        </m:r>
      </m:oMath>
      <w:r>
        <w:t xml:space="preserve"> </w:t>
      </w:r>
      <m:oMath>
        <m:r>
          <m:t>n</m:t>
        </m:r>
        <m:r>
          <m:t>T</m:t>
        </m:r>
      </m:oMath>
      <w:r>
        <w:t xml:space="preserve">.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(Kuhn, 2024b, Hyndman, 2018, createDataPartition developers, 2024).</w:t>
      </w:r>
    </w:p>
    <w:p>
      <w:pPr>
        <w:pStyle w:val="BodyText"/>
      </w:pPr>
      <w:r>
        <w:t xml:space="preserve">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and similar to Loewe and Prölss (Loewe &amp; Prölss, 1997). The upper range limits are excluded, while the lower ones are included.</w:t>
      </w:r>
    </w:p>
    <w:p>
      <w:pPr>
        <w:pStyle w:val="BodyText"/>
      </w:pPr>
      <w:r>
        <w:t xml:space="preserve">Table</w:t>
      </w:r>
      <w:r>
        <w:t xml:space="preserve"> </w:t>
      </w:r>
      <w:hyperlink w:anchor="tab:Dstranges">
        <w:r>
          <w:rPr>
            <w:rStyle w:val="Hyperlink"/>
          </w:rPr>
          <w:t xml:space="preserve">8</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 It is evident from this division that the normal (N), and recovery (R) classes are far more common than other classes with very high or low</w:t>
      </w:r>
      <w:r>
        <w:t xml:space="preserve"> </w:t>
      </w:r>
      <m:oMath>
        <m:r>
          <m:t>D</m:t>
        </m:r>
        <m:r>
          <m:t>s</m:t>
        </m:r>
        <m:r>
          <m:t>t</m:t>
        </m:r>
      </m:oMath>
      <w:r>
        <w:t xml:space="preserve"> </w:t>
      </w:r>
      <w:r>
        <w:t xml:space="preserve">values, impacting model performance.</w:t>
      </w:r>
    </w:p>
    <w:bookmarkStart w:id="40" w:name="tab:Dstranges"/>
    <w:p>
      <w:pPr>
        <w:pStyle w:val="TableCaption"/>
      </w:pPr>
      <m:oMath>
        <m:r>
          <m:t>D</m:t>
        </m:r>
        <m:r>
          <m:t>s</m:t>
        </m:r>
        <m:r>
          <m:t>t</m:t>
        </m:r>
      </m:oMath>
      <w:r>
        <w:t xml:space="preserve">-based classification rules used in this study, the total number of samples in each class, and the number of samples used for testing, and training.</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40"/>
    <w:bookmarkEnd w:id="41"/>
    <w:bookmarkStart w:id="42" w:name="data-preprocessing"/>
    <w:p>
      <w:pPr>
        <w:pStyle w:val="Heading3"/>
      </w:pPr>
      <w:r>
        <w:t xml:space="preserve">Data Preprocessing</w:t>
      </w:r>
    </w:p>
    <w:p>
      <w:pPr>
        <w:pStyle w:val="FirstParagraph"/>
      </w:pPr>
      <w:r>
        <w:t xml:space="preserve">Data preprocessing can increase classification accuracy (Fan et al., 2008). There are many ways to standardize data, such as minimum-maximum, normalization by decimal scaling, and Z-score (Mohamad &amp; Usman, 2013). Subtracting the mean and dividing by the variance for each feature are commonly used for SVM models (Fennell et al., 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42"/>
    <w:bookmarkStart w:id="52" w:name="correlation"/>
    <w:p>
      <w:pPr>
        <w:pStyle w:val="Heading3"/>
      </w:pPr>
      <w:r>
        <w:t xml:space="preserve">Correlation</w:t>
      </w:r>
    </w:p>
    <w:p>
      <w:pPr>
        <w:pStyle w:val="FirstParagraph"/>
      </w:pPr>
      <w:r>
        <w:t xml:space="preserve">Figure </w:t>
      </w:r>
      <w:hyperlink w:anchor="fig:correlation">
        <w:r>
          <w:rPr>
            <w:rStyle w:val="Hyperlink"/>
          </w:rPr>
          <w:t xml:space="preserve">1</w:t>
        </w:r>
      </w:hyperlink>
      <w:r>
        <w:t xml:space="preserve"> </w:t>
      </w:r>
      <w:r>
        <w:t xml:space="preserve">contains a heat map of the correlation between all variables used in this study. The highest correlation of</w:t>
      </w:r>
      <w:r>
        <w:t xml:space="preserve"> </w:t>
      </w:r>
      <m:oMath>
        <m:r>
          <m:t>0.52</m:t>
        </m:r>
      </m:oMath>
      <w:r>
        <w:t xml:space="preserve"> </w:t>
      </w:r>
      <w:r>
        <w:t xml:space="preserve">is between</w:t>
      </w:r>
      <w:r>
        <w:t xml:space="preserve"> </w:t>
      </w:r>
      <m:oMath>
        <m:sSub>
          <m:e>
            <m:r>
              <m:t>B</m:t>
            </m:r>
          </m:e>
          <m:sub>
            <m:r>
              <m:t>x</m:t>
            </m:r>
          </m:sub>
        </m:sSub>
      </m:oMath>
      <w:r>
        <w:t xml:space="preserve"> </w:t>
      </w:r>
      <w:r>
        <w:t xml:space="preserve">and</w:t>
      </w:r>
      <w:r>
        <w:t xml:space="preserve"> </w:t>
      </w:r>
      <m:oMath>
        <m:r>
          <m:t>D</m:t>
        </m:r>
        <m:r>
          <m:t>s</m:t>
        </m:r>
        <m:r>
          <m:t>t</m:t>
        </m:r>
      </m:oMath>
      <w:r>
        <w:t xml:space="preserve">, as expected based on theoretical knowledge, and supporting the hypothesis that</w:t>
      </w:r>
      <w:r>
        <w:t xml:space="preserve"> </w:t>
      </w:r>
      <m:oMath>
        <m:r>
          <m:t>D</m:t>
        </m:r>
        <m:r>
          <m:t>s</m:t>
        </m:r>
        <m:r>
          <m:t>t</m:t>
        </m:r>
      </m:oMath>
      <w:r>
        <w:t xml:space="preserve"> </w:t>
      </w:r>
      <w:r>
        <w:t xml:space="preserve">can be predicted using</w:t>
      </w:r>
      <w:r>
        <w:t xml:space="preserve"> </w:t>
      </w:r>
      <m:oMath>
        <m:sSub>
          <m:e>
            <m:r>
              <m:t>B</m:t>
            </m:r>
          </m:e>
          <m:sub>
            <m:r>
              <m:t>x</m:t>
            </m:r>
          </m:sub>
        </m:sSub>
      </m:oMath>
      <w:r>
        <w:t xml:space="preserve">. The second highest correlation is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meaning</w:t>
      </w:r>
      <w:r>
        <w:t xml:space="preserve"> </w:t>
      </w:r>
      <m:oMath>
        <m:sSub>
          <m:e>
            <m:r>
              <m:t>a</m:t>
            </m:r>
          </m:e>
          <m:sub>
            <m:r>
              <m:t>p</m:t>
            </m:r>
          </m:sub>
        </m:sSub>
      </m:oMath>
      <w:r>
        <w:t xml:space="preserve"> </w:t>
      </w:r>
      <w:r>
        <w:t xml:space="preserve">can be used to predict</w:t>
      </w:r>
      <w:r>
        <w:t xml:space="preserve"> </w:t>
      </w:r>
      <m:oMath>
        <m:r>
          <m:t>D</m:t>
        </m:r>
        <m:r>
          <m:t>s</m:t>
        </m:r>
        <m:r>
          <m:t>t</m:t>
        </m:r>
      </m:oMath>
      <w:r>
        <w:t xml:space="preserve"> </w:t>
      </w:r>
      <w:r>
        <w:t xml:space="preserve">with an opposite trend.</w:t>
      </w:r>
    </w:p>
    <w:bookmarkStart w:id="46" w:name="fig:correlation"/>
    <w:p>
      <w:pPr>
        <w:pStyle w:val="CaptionedFigure"/>
      </w:pPr>
      <w:r>
        <w:drawing>
          <wp:inline>
            <wp:extent cx="4800600" cy="4800600"/>
            <wp:effectExtent b="0" l="0" r="0" t="0"/>
            <wp:docPr descr="" title="" id="44" name="Picture"/>
            <a:graphic>
              <a:graphicData uri="http://schemas.openxmlformats.org/drawingml/2006/picture">
                <pic:pic>
                  <pic:nvPicPr>
                    <pic:cNvPr descr="iono3correlation.pdf"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46"/>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2</w:t>
        </w:r>
      </w:hyperlink>
      <w:r>
        <w:t xml:space="preserve"> </w:t>
      </w:r>
      <w:r>
        <w:t xml:space="preserve">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a reverse trend when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w:t>
      </w:r>
    </w:p>
    <w:bookmarkStart w:id="50" w:name="fig:iono3boxplot"/>
    <w:p>
      <w:pPr>
        <w:pStyle w:val="CaptionedFigure"/>
      </w:pPr>
      <w:r>
        <w:drawing>
          <wp:inline>
            <wp:extent cx="3810000" cy="2540000"/>
            <wp:effectExtent b="0" l="0" r="0" t="0"/>
            <wp:docPr descr="" title="" id="48" name="Picture"/>
            <a:graphic>
              <a:graphicData uri="http://schemas.openxmlformats.org/drawingml/2006/picture">
                <pic:pic>
                  <pic:nvPicPr>
                    <pic:cNvPr descr="iono3boxplot_fix.pdf" id="49"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for different ranges of</w:t>
      </w:r>
      <w:r>
        <w:t xml:space="preserve"> </w:t>
      </w:r>
      <m:oMath>
        <m:r>
          <m:t>D</m:t>
        </m:r>
        <m:r>
          <m:t>s</m:t>
        </m:r>
        <m:r>
          <m:t>t</m:t>
        </m:r>
      </m:oMath>
      <w:r>
        <w:t xml:space="preserve"> </w:t>
      </w:r>
      <w:r>
        <w:t xml:space="preserve">values defining the class label used in this study.</w:t>
      </w:r>
    </w:p>
    <w:bookmarkEnd w:id="50"/>
    <w:p>
      <w:pPr>
        <w:pStyle w:val="BodyText"/>
      </w:pPr>
      <w:r>
        <w:t xml:space="preserve">Table </w:t>
      </w:r>
      <w:hyperlink w:anchor="tab:minmax">
        <w:r>
          <w:rPr>
            <w:rStyle w:val="Hyperlink"/>
          </w:rPr>
          <w:t xml:space="preserve">9</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These values suggest that variables are not normally distributed. 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(ks.test developers, 2024) and</w:t>
      </w:r>
      <w:r>
        <w:t xml:space="preserve"> </w:t>
      </w:r>
      <w:r>
        <w:rPr>
          <w:i/>
          <w:iCs/>
        </w:rPr>
        <w:t xml:space="preserve">shapiro.test</w:t>
      </w:r>
      <w:r>
        <w:t xml:space="preserve"> </w:t>
      </w:r>
      <w:r>
        <w:t xml:space="preserve">(shapiro.test developers, 2024),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that variables do not follow a normal (Gaussian) distribution.</w:t>
      </w:r>
    </w:p>
    <w:bookmarkStart w:id="51"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nT."/>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51"/>
    <w:bookmarkEnd w:id="52"/>
    <w:bookmarkEnd w:id="53"/>
    <w:bookmarkStart w:id="55" w:name="performance-metrics"/>
    <w:p>
      <w:pPr>
        <w:pStyle w:val="Heading2"/>
      </w:pPr>
      <w:r>
        <w:t xml:space="preserve">Performance Metrics</w:t>
      </w:r>
    </w:p>
    <w:p>
      <w:pPr>
        <w:pStyle w:val="FirstParagraph"/>
      </w:pPr>
      <w:r>
        <w:t xml:space="preserve">The metrics and terminology used to evaluate the classifier performance were taken from the confusion matrix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2008, confusionMatrix developers, 2024).</w:t>
      </w:r>
    </w:p>
    <w:p>
      <w:pPr>
        <w:pStyle w:val="BodyText"/>
      </w:pPr>
      <w:r>
        <w:t xml:space="preserve">The examples for each performance metric use only two groups (Yes and No, positive and negative). For multiple classes, results are calculated by a "one versus all" approach, viewing each class as positive and all others as negative.</w:t>
      </w:r>
    </w:p>
    <w:bookmarkStart w:id="54" w:name="confusion-matrix"/>
    <w:p>
      <w:pPr>
        <w:pStyle w:val="Heading3"/>
      </w:pPr>
      <w:r>
        <w:t xml:space="preserve">Confusion Matrix</w:t>
      </w:r>
    </w:p>
    <w:p>
      <w:pPr>
        <w:pStyle w:val="FirstParagraph"/>
      </w:pPr>
      <w:r>
        <w:t xml:space="preserve">A True Positive (TP), or True Negative (TN) result in the confusion matrix correctly indicates that the sample belongs to a class. A False Positive (FP), or False Negative (FN) classification result incorrectly claims that the sample belongs to a class and represents a type I or type II error, respectively.</w:t>
      </w:r>
    </w:p>
    <w:p>
      <w:pPr>
        <w:pStyle w:val="BodyText"/>
      </w:pPr>
      <w:r>
        <w:t xml:space="preserve">Sensitivity, recall, hit rate, or True Positive Rate (TPR),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and specificity, selectivity, or True Negative Rate (TNR),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represent the proportion of correctly classified samples among those that truly belong to a class (Altman &amp; Bland, 1994a, Altman &amp; Bland, 1994b).</w:t>
      </w:r>
    </w:p>
    <w:p>
      <w:pPr>
        <w:pStyle w:val="BodyText"/>
      </w:pPr>
      <w:r>
        <w:t xml:space="preserve">Precision, or Positive Predictive Value (PPV),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and Negative Predictive Value (NPV),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represent the proportion of correctly classified samples among those classified to a class.</w:t>
      </w:r>
    </w:p>
    <w:p>
      <w:pPr>
        <w:pStyle w:val="BodyText"/>
      </w:pPr>
      <w:r>
        <w:t xml:space="preserve">Prevalence,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Detection Prevalence (DP),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represent the proportion of samples that truly belong to or are classified to each class, respectively. Prevalence values other than an even split by the number of classes indicate a class imbalance.</w:t>
      </w:r>
    </w:p>
    <w:p>
      <w:pPr>
        <w:pStyle w:val="BodyText"/>
      </w:pPr>
      <w:r>
        <w:t xml:space="preserve">The Detection Rate (DR),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accuracy (Acc),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represent the proportion of correctly classified samples for separate classes or any class, respectively.</w:t>
      </w:r>
    </w:p>
    <w:p>
      <w:pPr>
        <w:pStyle w:val="BodyText"/>
      </w:pPr>
      <w:r>
        <w:t xml:space="preserve">Since accuracy is unusable for unbalanced classes, Balanced Accuracy (BA) (Velez et al., 2007)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represents the arithmetic mean of TPR and TNR, which are centered on the positive and the negative classes, respectively.</w:t>
      </w:r>
    </w:p>
    <w:bookmarkEnd w:id="54"/>
    <w:bookmarkEnd w:id="55"/>
    <w:bookmarkEnd w:id="56"/>
    <w:bookmarkStart w:id="64" w:name="sec:Results"/>
    <w:p>
      <w:pPr>
        <w:pStyle w:val="Heading1"/>
      </w:pPr>
      <w:r>
        <w:t xml:space="preserve">Research Results</w:t>
      </w:r>
    </w:p>
    <w:p>
      <w:pPr>
        <w:pStyle w:val="FirstParagraph"/>
      </w:pPr>
      <w:r>
        <w:t xml:space="preserve">The accuracy for all models when using all variables,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w:t>
      </w:r>
      <w:r>
        <w:t xml:space="preserve"> </w:t>
      </w:r>
      <m:oMath>
        <m:r>
          <m:t>d</m:t>
        </m:r>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as input is displayed in Table </w:t>
      </w:r>
      <w:hyperlink w:anchor="tab:acc:all">
        <w:r>
          <w:rPr>
            <w:rStyle w:val="Hyperlink"/>
          </w:rPr>
          <w:t xml:space="preserve">10</w:t>
        </w:r>
      </w:hyperlink>
      <w:r>
        <w:t xml:space="preserve">. Accuracy results can lead to an incorrect conclusion if the dataset is unbalanced. Out of</w:t>
      </w:r>
      <w:r>
        <w:t xml:space="preserve"> </w:t>
      </w:r>
      <m:oMath>
        <m:r>
          <m:t>9591</m:t>
        </m:r>
      </m:oMath>
      <w:r>
        <w:t xml:space="preserve"> </w:t>
      </w:r>
      <w:r>
        <w:t xml:space="preserve">samples for training and testing,</w:t>
      </w:r>
      <w:r>
        <w:t xml:space="preserve"> </w:t>
      </w:r>
      <m:oMath>
        <m:r>
          <m:t>7495</m:t>
        </m:r>
      </m:oMath>
      <w:r>
        <w:t xml:space="preserve"> </w:t>
      </w:r>
      <w:r>
        <w:t xml:space="preserve">belonged to the largest N class, and</w:t>
      </w:r>
      <w:r>
        <w:t xml:space="preserve"> </w:t>
      </w:r>
      <m:oMath>
        <m:r>
          <m:t>13</m:t>
        </m:r>
      </m:oMath>
      <w:r>
        <w:t xml:space="preserve"> </w:t>
      </w:r>
      <w:r>
        <w:t xml:space="preserve">to the smallest E class, as listed in Table </w:t>
      </w:r>
      <w:hyperlink w:anchor="tab:Dstranges">
        <w:r>
          <w:rPr>
            <w:rStyle w:val="Hyperlink"/>
          </w:rPr>
          <w:t xml:space="preserve">8</w:t>
        </w:r>
      </w:hyperlink>
      <w:r>
        <w:t xml:space="preserve">. More comprehensive results by class are presented only for the Naive Bayes (NB) classifier, the second most successful model. The Neural Network (NN) classifier made no errors, so further discussion is redundant.</w:t>
      </w:r>
    </w:p>
    <w:bookmarkStart w:id="57" w:name="tab:acc:all"/>
    <w:p>
      <w:pPr>
        <w:pStyle w:val="TableCaption"/>
      </w:pPr>
      <w:r>
        <w:t xml:space="preserve">The accuracy for each model using different combinations of variables as input.</w:t>
      </w:r>
    </w:p>
    <w:tbl>
      <w:tblPr>
        <w:tblStyle w:val="Table"/>
        <w:tblW w:type="auto" w:w="0"/>
        <w:tblLook w:firstRow="1" w:lastRow="0" w:firstColumn="0" w:lastColumn="0" w:noHBand="0" w:noVBand="0" w:val="0020"/>
        <w:tblCaption w:val="The accuracy for each model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0.7866</m:t>
              </m:r>
            </m:oMath>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0.9995</m:t>
              </m:r>
            </m:oMath>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0.9953</m:t>
              </m:r>
            </m:oMath>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0.9212</m:t>
              </m:r>
            </m:oMath>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0.9025</m:t>
              </m:r>
            </m:oMath>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0.9963</m:t>
              </m:r>
            </m:oMath>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bl>
    <w:bookmarkEnd w:id="57"/>
    <w:p>
      <w:pPr>
        <w:pStyle w:val="BodyText"/>
      </w:pPr>
      <w:r>
        <w:t xml:space="preserve">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(system.time developers, 2024) for each model and different combinations of variables as input is displayed in Table </w:t>
      </w:r>
      <w:hyperlink w:anchor="tab:time:total">
        <w:r>
          <w:rPr>
            <w:rStyle w:val="Hyperlink"/>
          </w:rPr>
          <w:t xml:space="preserve">11</w:t>
        </w:r>
      </w:hyperlink>
      <w:r>
        <w:t xml:space="preserve">. 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w:t>
      </w:r>
    </w:p>
    <w:bookmarkStart w:id="58" w:name="tab:time:total"/>
    <w:p>
      <w:pPr>
        <w:pStyle w:val="TableCaption"/>
      </w:pPr>
      <w:r>
        <w:t xml:space="preserve">The execution time in seconds (</w:t>
      </w:r>
      <m:oMath>
        <m:r>
          <m:t>s</m:t>
        </m:r>
      </m:oMath>
      <w:r>
        <w:t xml:space="preserve">) for each model when using different combinations of variables as input.</w:t>
      </w:r>
    </w:p>
    <w:tbl>
      <w:tblPr>
        <w:tblStyle w:val="Table"/>
        <w:tblW w:type="auto" w:w="0"/>
        <w:tblLook w:firstRow="1" w:lastRow="0" w:firstColumn="0" w:lastColumn="0" w:noHBand="0" w:noVBand="0" w:val="0020"/>
        <w:tblCaption w:val="The execution time in seconds (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148.72</m:t>
              </m:r>
            </m:oMath>
          </w:p>
        </w:tc>
        <w:tc>
          <w:tcPr/>
          <w:p>
            <w:pPr>
              <w:pStyle w:val="Compact"/>
              <w:jc w:val="center"/>
            </w:pPr>
            <m:oMath>
              <m:r>
                <m:t>330.67</m:t>
              </m:r>
            </m:oMath>
          </w:p>
        </w:tc>
        <w:tc>
          <w:tcPr/>
          <w:p>
            <w:pPr>
              <w:pStyle w:val="Compact"/>
              <w:jc w:val="center"/>
            </w:pPr>
            <m:oMath>
              <m:r>
                <m:t>392.05</m:t>
              </m:r>
            </m:oMath>
          </w:p>
        </w:tc>
        <w:tc>
          <w:tcPr/>
          <w:p>
            <w:pPr>
              <w:pStyle w:val="Compact"/>
              <w:jc w:val="center"/>
            </w:pPr>
            <m:oMath>
              <m:r>
                <m:t>582.47</m:t>
              </m:r>
            </m:oMath>
          </w:p>
        </w:tc>
        <w:tc>
          <w:tcPr/>
          <w:p>
            <w:pPr>
              <w:pStyle w:val="Compact"/>
              <w:jc w:val="center"/>
            </w:pPr>
            <m:oMath>
              <m:r>
                <m:t>739.55</m:t>
              </m:r>
            </m:oMath>
          </w:p>
        </w:tc>
        <w:tc>
          <w:tcPr/>
          <w:p>
            <w:pPr>
              <w:pStyle w:val="Compact"/>
              <w:jc w:val="center"/>
            </w:pPr>
            <m:oMath>
              <m:r>
                <m:t>670.54</m:t>
              </m:r>
            </m:oMath>
          </w:p>
        </w:tc>
        <w:tc>
          <w:tcPr/>
          <w:p>
            <w:pPr>
              <w:pStyle w:val="Compact"/>
              <w:jc w:val="center"/>
            </w:pPr>
            <m:oMath>
              <m:r>
                <m:t>876.43</m:t>
              </m:r>
            </m:oMath>
          </w:p>
        </w:tc>
      </w:tr>
      <w:tr>
        <w:tc>
          <w:tcPr/>
          <w:p>
            <w:pPr>
              <w:pStyle w:val="Compact"/>
              <w:jc w:val="center"/>
            </w:pPr>
            <w:r>
              <w:t xml:space="preserve">C5.0 DT</w:t>
            </w:r>
          </w:p>
        </w:tc>
        <w:tc>
          <w:tcPr/>
          <w:p>
            <w:pPr>
              <w:pStyle w:val="Compact"/>
              <w:jc w:val="center"/>
            </w:pPr>
            <m:oMath>
              <m:r>
                <m:t>186.08</m:t>
              </m:r>
            </m:oMath>
          </w:p>
        </w:tc>
        <w:tc>
          <w:tcPr/>
          <w:p>
            <w:pPr>
              <w:pStyle w:val="Compact"/>
              <w:jc w:val="center"/>
            </w:pPr>
            <m:oMath>
              <m:r>
                <m:t>670.61</m:t>
              </m:r>
            </m:oMath>
          </w:p>
        </w:tc>
        <w:tc>
          <w:tcPr/>
          <w:p>
            <w:pPr>
              <w:pStyle w:val="Compact"/>
              <w:jc w:val="center"/>
            </w:pPr>
            <m:oMath>
              <m:r>
                <m:t>466.42</m:t>
              </m:r>
            </m:oMath>
          </w:p>
        </w:tc>
        <w:tc>
          <w:tcPr/>
          <w:p>
            <w:pPr>
              <w:pStyle w:val="Compact"/>
              <w:jc w:val="center"/>
            </w:pPr>
            <m:oMath>
              <m:r>
                <m:t>347.16</m:t>
              </m:r>
            </m:oMath>
          </w:p>
        </w:tc>
        <w:tc>
          <w:tcPr/>
          <w:p>
            <w:pPr>
              <w:pStyle w:val="Compact"/>
              <w:jc w:val="center"/>
            </w:pPr>
            <m:oMath>
              <m:r>
                <m:t>357.43</m:t>
              </m:r>
            </m:oMath>
          </w:p>
        </w:tc>
        <w:tc>
          <w:tcPr/>
          <w:p>
            <w:pPr>
              <w:pStyle w:val="Compact"/>
              <w:jc w:val="center"/>
            </w:pPr>
            <m:oMath>
              <m:r>
                <m:t>330.81</m:t>
              </m:r>
            </m:oMath>
          </w:p>
        </w:tc>
        <w:tc>
          <w:tcPr/>
          <w:p>
            <w:pPr>
              <w:pStyle w:val="Compact"/>
              <w:jc w:val="center"/>
            </w:pPr>
            <m:oMath>
              <m:r>
                <m:t>382.92</m:t>
              </m:r>
            </m:oMath>
          </w:p>
        </w:tc>
      </w:tr>
      <w:tr>
        <w:tc>
          <w:tcPr/>
          <w:p>
            <w:pPr>
              <w:pStyle w:val="Compact"/>
              <w:jc w:val="center"/>
            </w:pPr>
            <w:r>
              <w:t xml:space="preserve">NB</w:t>
            </w:r>
          </w:p>
        </w:tc>
        <w:tc>
          <w:tcPr/>
          <w:p>
            <w:pPr>
              <w:pStyle w:val="Compact"/>
              <w:jc w:val="center"/>
            </w:pPr>
            <m:oMath>
              <m:r>
                <m:t>206.65</m:t>
              </m:r>
            </m:oMath>
          </w:p>
        </w:tc>
        <w:tc>
          <w:tcPr/>
          <w:p>
            <w:pPr>
              <w:pStyle w:val="Compact"/>
              <w:jc w:val="center"/>
            </w:pPr>
            <m:oMath>
              <m:r>
                <m:t>200.83</m:t>
              </m:r>
            </m:oMath>
          </w:p>
        </w:tc>
        <w:tc>
          <w:tcPr/>
          <w:p>
            <w:pPr>
              <w:pStyle w:val="Compact"/>
              <w:jc w:val="center"/>
            </w:pPr>
            <m:oMath>
              <m:r>
                <m:t>164.03</m:t>
              </m:r>
            </m:oMath>
          </w:p>
        </w:tc>
        <w:tc>
          <w:tcPr/>
          <w:p>
            <w:pPr>
              <w:pStyle w:val="Compact"/>
              <w:jc w:val="center"/>
            </w:pPr>
            <m:oMath>
              <m:r>
                <m:t>141.87</m:t>
              </m:r>
            </m:oMath>
          </w:p>
        </w:tc>
        <w:tc>
          <w:tcPr/>
          <w:p>
            <w:pPr>
              <w:pStyle w:val="Compact"/>
              <w:jc w:val="center"/>
            </w:pPr>
            <m:oMath>
              <m:r>
                <m:t>143.97</m:t>
              </m:r>
            </m:oMath>
          </w:p>
        </w:tc>
        <w:tc>
          <w:tcPr/>
          <w:p>
            <w:pPr>
              <w:pStyle w:val="Compact"/>
              <w:jc w:val="center"/>
            </w:pPr>
            <m:oMath>
              <m:r>
                <m:t>147.26</m:t>
              </m:r>
            </m:oMath>
          </w:p>
        </w:tc>
        <w:tc>
          <w:tcPr/>
          <w:p>
            <w:pPr>
              <w:pStyle w:val="Compact"/>
              <w:jc w:val="center"/>
            </w:pPr>
            <m:oMath>
              <m:r>
                <m:t>149.87</m:t>
              </m:r>
            </m:oMath>
          </w:p>
        </w:tc>
      </w:tr>
      <w:tr>
        <w:tc>
          <w:tcPr/>
          <w:p>
            <w:pPr>
              <w:pStyle w:val="Compact"/>
              <w:jc w:val="center"/>
            </w:pPr>
            <w:r>
              <w:t xml:space="preserve">NN</w:t>
            </w:r>
          </w:p>
        </w:tc>
        <w:tc>
          <w:tcPr/>
          <w:p>
            <w:pPr>
              <w:pStyle w:val="Compact"/>
              <w:jc w:val="center"/>
            </w:pPr>
            <m:oMath>
              <m:r>
                <m:t>582.41</m:t>
              </m:r>
            </m:oMath>
          </w:p>
        </w:tc>
        <w:tc>
          <w:tcPr/>
          <w:p>
            <w:pPr>
              <w:pStyle w:val="Compact"/>
              <w:jc w:val="center"/>
            </w:pPr>
            <m:oMath>
              <m:r>
                <m:t>629.67</m:t>
              </m:r>
            </m:oMath>
          </w:p>
        </w:tc>
        <w:tc>
          <w:tcPr/>
          <w:p>
            <w:pPr>
              <w:pStyle w:val="Compact"/>
              <w:jc w:val="center"/>
            </w:pPr>
            <m:oMath>
              <m:r>
                <m:t>619.30</m:t>
              </m:r>
            </m:oMath>
          </w:p>
        </w:tc>
        <w:tc>
          <w:tcPr/>
          <w:p>
            <w:pPr>
              <w:pStyle w:val="Compact"/>
              <w:jc w:val="center"/>
            </w:pPr>
            <m:oMath>
              <m:r>
                <m:t>587.37</m:t>
              </m:r>
            </m:oMath>
          </w:p>
        </w:tc>
        <w:tc>
          <w:tcPr/>
          <w:p>
            <w:pPr>
              <w:pStyle w:val="Compact"/>
              <w:jc w:val="center"/>
            </w:pPr>
            <m:oMath>
              <m:r>
                <m:t>614.07</m:t>
              </m:r>
            </m:oMath>
          </w:p>
        </w:tc>
        <w:tc>
          <w:tcPr/>
          <w:p>
            <w:pPr>
              <w:pStyle w:val="Compact"/>
              <w:jc w:val="center"/>
            </w:pPr>
            <m:oMath>
              <m:r>
                <m:t>629.48</m:t>
              </m:r>
            </m:oMath>
          </w:p>
        </w:tc>
        <w:tc>
          <w:tcPr/>
          <w:p>
            <w:pPr>
              <w:pStyle w:val="Compact"/>
              <w:jc w:val="center"/>
            </w:pPr>
            <m:oMath>
              <m:r>
                <m:t>644.44</m:t>
              </m:r>
            </m:oMath>
          </w:p>
        </w:tc>
      </w:tr>
      <w:tr>
        <w:tc>
          <w:tcPr/>
          <w:p>
            <w:pPr>
              <w:pStyle w:val="Compact"/>
              <w:jc w:val="center"/>
            </w:pPr>
            <w:r>
              <w:t xml:space="preserve">PLS</w:t>
            </w:r>
          </w:p>
        </w:tc>
        <w:tc>
          <w:tcPr/>
          <w:p>
            <w:pPr>
              <w:pStyle w:val="Compact"/>
              <w:jc w:val="center"/>
            </w:pPr>
            <m:oMath>
              <m:r>
                <m:t>52.59</m:t>
              </m:r>
            </m:oMath>
          </w:p>
        </w:tc>
        <w:tc>
          <w:tcPr/>
          <w:p>
            <w:pPr>
              <w:pStyle w:val="Compact"/>
              <w:jc w:val="center"/>
            </w:pPr>
            <m:oMath>
              <m:r>
                <m:t>63.48</m:t>
              </m:r>
            </m:oMath>
          </w:p>
        </w:tc>
        <w:tc>
          <w:tcPr/>
          <w:p>
            <w:pPr>
              <w:pStyle w:val="Compact"/>
              <w:jc w:val="center"/>
            </w:pPr>
            <m:oMath>
              <m:r>
                <m:t>54.26</m:t>
              </m:r>
            </m:oMath>
          </w:p>
        </w:tc>
        <w:tc>
          <w:tcPr/>
          <w:p>
            <w:pPr>
              <w:pStyle w:val="Compact"/>
              <w:jc w:val="center"/>
            </w:pPr>
            <m:oMath>
              <m:r>
                <m:t>36.90</m:t>
              </m:r>
            </m:oMath>
          </w:p>
        </w:tc>
        <w:tc>
          <w:tcPr/>
          <w:p>
            <w:pPr>
              <w:pStyle w:val="Compact"/>
              <w:jc w:val="center"/>
            </w:pPr>
            <m:oMath>
              <m:r>
                <m:t>52.39</m:t>
              </m:r>
            </m:oMath>
          </w:p>
        </w:tc>
        <w:tc>
          <w:tcPr/>
          <w:p>
            <w:pPr>
              <w:pStyle w:val="Compact"/>
              <w:jc w:val="center"/>
            </w:pPr>
            <m:oMath>
              <m:r>
                <m:t>41.92</m:t>
              </m:r>
            </m:oMath>
          </w:p>
        </w:tc>
        <w:tc>
          <w:tcPr/>
          <w:p>
            <w:pPr>
              <w:pStyle w:val="Compact"/>
              <w:jc w:val="center"/>
            </w:pPr>
            <m:oMath>
              <m:r>
                <m:t>59.00</m:t>
              </m:r>
            </m:oMath>
          </w:p>
        </w:tc>
      </w:tr>
      <w:tr>
        <w:tc>
          <w:tcPr/>
          <w:p>
            <w:pPr>
              <w:pStyle w:val="Compact"/>
              <w:jc w:val="center"/>
            </w:pPr>
            <w:r>
              <w:t xml:space="preserve">FDA</w:t>
            </w:r>
          </w:p>
        </w:tc>
        <w:tc>
          <w:tcPr/>
          <w:p>
            <w:pPr>
              <w:pStyle w:val="Compact"/>
              <w:jc w:val="center"/>
            </w:pPr>
            <m:oMath>
              <m:r>
                <m:t>56.20</m:t>
              </m:r>
            </m:oMath>
          </w:p>
        </w:tc>
        <w:tc>
          <w:tcPr/>
          <w:p>
            <w:pPr>
              <w:pStyle w:val="Compact"/>
              <w:jc w:val="center"/>
            </w:pPr>
            <m:oMath>
              <m:r>
                <m:t>98.11</m:t>
              </m:r>
            </m:oMath>
          </w:p>
        </w:tc>
        <w:tc>
          <w:tcPr/>
          <w:p>
            <w:pPr>
              <w:pStyle w:val="Compact"/>
              <w:jc w:val="center"/>
            </w:pPr>
            <m:oMath>
              <m:r>
                <m:t>142.19</m:t>
              </m:r>
            </m:oMath>
          </w:p>
        </w:tc>
        <w:tc>
          <w:tcPr/>
          <w:p>
            <w:pPr>
              <w:pStyle w:val="Compact"/>
              <w:jc w:val="center"/>
            </w:pPr>
            <m:oMath>
              <m:r>
                <m:t>144.53</m:t>
              </m:r>
            </m:oMath>
          </w:p>
        </w:tc>
        <w:tc>
          <w:tcPr/>
          <w:p>
            <w:pPr>
              <w:pStyle w:val="Compact"/>
              <w:jc w:val="center"/>
            </w:pPr>
            <m:oMath>
              <m:r>
                <m:t>164.17</m:t>
              </m:r>
            </m:oMath>
          </w:p>
        </w:tc>
        <w:tc>
          <w:tcPr/>
          <w:p>
            <w:pPr>
              <w:pStyle w:val="Compact"/>
              <w:jc w:val="center"/>
            </w:pPr>
            <m:oMath>
              <m:r>
                <m:t>172.64</m:t>
              </m:r>
            </m:oMath>
          </w:p>
        </w:tc>
        <w:tc>
          <w:tcPr/>
          <w:p>
            <w:pPr>
              <w:pStyle w:val="Compact"/>
              <w:jc w:val="center"/>
            </w:pPr>
            <m:oMath>
              <m:r>
                <m:t>185.78</m:t>
              </m:r>
            </m:oMath>
          </w:p>
        </w:tc>
      </w:tr>
      <w:tr>
        <w:tc>
          <w:tcPr/>
          <w:p>
            <w:pPr>
              <w:pStyle w:val="Compact"/>
              <w:jc w:val="center"/>
            </w:pPr>
            <w:r>
              <w:t xml:space="preserve">PCA NN</w:t>
            </w:r>
          </w:p>
        </w:tc>
        <w:tc>
          <w:tcPr/>
          <w:p>
            <w:pPr>
              <w:pStyle w:val="Compact"/>
              <w:jc w:val="center"/>
            </w:pPr>
            <m:oMath>
              <m:r>
                <m:t>341.32</m:t>
              </m:r>
            </m:oMath>
          </w:p>
        </w:tc>
        <w:tc>
          <w:tcPr/>
          <w:p>
            <w:pPr>
              <w:pStyle w:val="Compact"/>
              <w:jc w:val="center"/>
            </w:pPr>
            <m:oMath>
              <m:r>
                <m:t>422.86</m:t>
              </m:r>
            </m:oMath>
          </w:p>
        </w:tc>
        <w:tc>
          <w:tcPr/>
          <w:p>
            <w:pPr>
              <w:pStyle w:val="Compact"/>
              <w:jc w:val="center"/>
            </w:pPr>
            <m:oMath>
              <m:r>
                <m:t>468.73</m:t>
              </m:r>
            </m:oMath>
          </w:p>
        </w:tc>
        <w:tc>
          <w:tcPr/>
          <w:p>
            <w:pPr>
              <w:pStyle w:val="Compact"/>
              <w:jc w:val="center"/>
            </w:pPr>
            <m:oMath>
              <m:r>
                <m:t>452.75</m:t>
              </m:r>
            </m:oMath>
          </w:p>
        </w:tc>
        <w:tc>
          <w:tcPr/>
          <w:p>
            <w:pPr>
              <w:pStyle w:val="Compact"/>
              <w:jc w:val="center"/>
            </w:pPr>
            <m:oMath>
              <m:r>
                <m:t>480.02</m:t>
              </m:r>
            </m:oMath>
          </w:p>
        </w:tc>
        <w:tc>
          <w:tcPr/>
          <w:p>
            <w:pPr>
              <w:pStyle w:val="Compact"/>
              <w:jc w:val="center"/>
            </w:pPr>
            <m:oMath>
              <m:r>
                <m:t>495.66</m:t>
              </m:r>
            </m:oMath>
          </w:p>
        </w:tc>
        <w:tc>
          <w:tcPr/>
          <w:p>
            <w:pPr>
              <w:pStyle w:val="Compact"/>
              <w:jc w:val="center"/>
            </w:pPr>
            <m:oMath>
              <m:r>
                <m:t>517.78</m:t>
              </m:r>
            </m:oMath>
          </w:p>
        </w:tc>
      </w:tr>
    </w:tbl>
    <w:bookmarkEnd w:id="58"/>
    <w:bookmarkStart w:id="63"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for the Naive Bayes (NB) model, when using different combinations of variables as input, are depicted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The NB model was chosen because of a low computational load and high accuracy. The results for combinations of input variables with a</w:t>
      </w:r>
      <w:r>
        <w:t xml:space="preserve"> </w:t>
      </w:r>
      <m:oMath>
        <m:r>
          <m:t>100</m:t>
        </m:r>
        <m:r>
          <m:rPr>
            <m:sty m:val="p"/>
          </m:rPr>
          <m:t>%</m:t>
        </m:r>
      </m:oMath>
      <w:r>
        <w:t xml:space="preserve"> </w:t>
      </w:r>
      <w:r>
        <w:t xml:space="preserve">accuracy using the NB model are ommited.</w:t>
      </w:r>
    </w:p>
    <w:bookmarkStart w:id="59" w:name="tab:cm:merged"/>
    <w:p>
      <w:pPr>
        <w:pStyle w:val="TableCaption"/>
      </w:pPr>
      <w:r>
        <w:t xml:space="preserve">The confusion matrix for the Naive Bayes model when using all variables as input (left), all variables except</w:t>
      </w:r>
      <w:r>
        <w:t xml:space="preserve"> </w:t>
      </w:r>
      <m:oMath>
        <m:r>
          <m:t>D</m:t>
        </m:r>
        <m:r>
          <m:t>s</m:t>
        </m:r>
        <m:r>
          <m:t>t</m:t>
        </m:r>
      </m:oMath>
      <w:r>
        <w:t xml:space="preserve"> </w:t>
      </w:r>
      <w:r>
        <w:t xml:space="preserve">as input (center), and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(right).</w:t>
      </w:r>
    </w:p>
    <w:tbl>
      <w:tblPr>
        <w:tblStyle w:val="Table"/>
        <w:tblW w:type="auto" w:w="0"/>
        <w:tblLook w:firstRow="1" w:lastRow="0" w:firstColumn="0" w:lastColumn="0" w:noHBand="0" w:noVBand="0" w:val="0020"/>
        <w:tblCaption w:val="The confusion matrix for the Naive Bayes model when using all variables as input (left), all variables except Dst as input (center), and only B_{y}, B_{z}, and a_{p} as input (righ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on"/>
        </w:trPr>
        <w:tc>
          <w:tcPr/>
          <w:p>
            <w:pPr>
              <w:pStyle w:val="Compact"/>
            </w:pPr>
          </w:p>
        </w:tc>
        <w:tc>
          <w:tcPr>
            <w:gridSpan w:val="5"/>
          </w:tcPr>
          <w:p>
            <w:pPr>
              <w:pStyle w:val="Compact"/>
              <w:jc w:val="center"/>
            </w:pPr>
            <w:r>
              <w:t xml:space="preserve">Reference - all</w:t>
            </w:r>
          </w:p>
        </w:tc>
        <w:tc>
          <w:tcPr>
            <w:gridSpan w:val="5"/>
          </w:tcPr>
          <w:p>
            <w:pPr>
              <w:pStyle w:val="Compact"/>
              <w:jc w:val="center"/>
            </w:pPr>
            <w:r>
              <w:t xml:space="preserve">Reference - no</w:t>
            </w:r>
            <w:r>
              <w:t xml:space="preserve"> </w:t>
            </w:r>
            <m:oMath>
              <m:r>
                <m:t>D</m:t>
              </m:r>
              <m:r>
                <m:t>s</m:t>
              </m:r>
              <m:r>
                <m:t>t</m:t>
              </m:r>
            </m:oMath>
          </w:p>
        </w:tc>
        <w:tc>
          <w:tcPr>
            <w:gridSpan w:val="5"/>
          </w:tcPr>
          <w:p>
            <w:pPr>
              <w:pStyle w:val="Compact"/>
              <w:jc w:val="center"/>
            </w:pPr>
            <w:r>
              <w:t xml:space="preserve">Reference -</w:t>
            </w:r>
            <w:r>
              <w:t xml:space="preserve"> </w:t>
            </w:r>
            <m:oMath>
              <m:r>
                <m:t>y</m:t>
              </m:r>
            </m:oMath>
            <w:r>
              <w:t xml:space="preserve"> </w:t>
            </w:r>
            <m:oMath>
              <m:r>
                <m:t>z</m:t>
              </m:r>
            </m:oMath>
            <w:r>
              <w:t xml:space="preserve"> </w:t>
            </w:r>
            <m:oMath>
              <m:sSub>
                <m:e>
                  <m:r>
                    <m:t>a</m:t>
                  </m:r>
                </m:e>
                <m:sub>
                  <m:r>
                    <m:t>p</m:t>
                  </m:r>
                </m:sub>
              </m:sSub>
            </m:oMath>
          </w:p>
        </w:tc>
      </w:tr>
      <w:tr>
        <w:tc>
          <w:tcPr/>
          <w:p>
            <w:pPr>
              <w:pStyle w:val="Compact"/>
              <w:jc w:val="center"/>
            </w:pPr>
            <w:r>
              <w:t xml:space="preserve">Pred.</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1499</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4</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369</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368</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371</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18</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18</m:t>
              </m:r>
            </m:oMath>
          </w:p>
        </w:tc>
      </w:tr>
    </w:tbl>
    <w:bookmarkEnd w:id="59"/>
    <w:bookmarkStart w:id="60"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99.46</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99.735</m:t>
              </m:r>
              <m:r>
                <m:rPr>
                  <m:sty m:val="p"/>
                </m:rPr>
                <m:t>%</m:t>
              </m:r>
            </m:oMath>
          </w:p>
        </w:tc>
        <w:tc>
          <w:tcPr/>
          <w:p>
            <w:pPr>
              <w:pStyle w:val="Compact"/>
              <w:jc w:val="center"/>
            </w:pPr>
            <m:oMath>
              <m:r>
                <m:t>99.87</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84.375</m:t>
              </m:r>
              <m:r>
                <m:rPr>
                  <m:sty m:val="p"/>
                </m:rPr>
                <m:t>%</m:t>
              </m:r>
            </m:oMath>
          </w:p>
        </w:tc>
        <w:tc>
          <w:tcPr/>
          <w:p>
            <w:pPr>
              <w:pStyle w:val="Compact"/>
              <w:jc w:val="center"/>
            </w:pPr>
            <m:oMath>
              <m:r>
                <m:t>99.46</m:t>
              </m:r>
              <m:r>
                <m:rPr>
                  <m:sty m:val="p"/>
                </m:rPr>
                <m:t>%</m:t>
              </m:r>
            </m:oMath>
          </w:p>
        </w:tc>
        <w:tc>
          <w:tcPr/>
          <w:p>
            <w:pPr>
              <w:pStyle w:val="Compact"/>
              <w:jc w:val="center"/>
            </w:pPr>
            <m:oMath>
              <m:r>
                <m:t>94.7368</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0.1043</m:t>
              </m:r>
              <m:r>
                <m:rPr>
                  <m:sty m:val="p"/>
                </m:rPr>
                <m:t>%</m:t>
              </m:r>
            </m:oMath>
          </w:p>
        </w:tc>
        <w:tc>
          <w:tcPr/>
          <w:p>
            <w:pPr>
              <w:pStyle w:val="Compact"/>
              <w:jc w:val="center"/>
            </w:pPr>
            <m:oMath>
              <m:r>
                <m:t>77.88</m:t>
              </m:r>
              <m:r>
                <m:rPr>
                  <m:sty m:val="p"/>
                </m:rPr>
                <m:t>%</m:t>
              </m:r>
            </m:oMath>
          </w:p>
        </w:tc>
        <w:tc>
          <w:tcPr/>
          <w:p>
            <w:pPr>
              <w:pStyle w:val="Compact"/>
              <w:jc w:val="center"/>
            </w:pPr>
            <m:oMath>
              <m:r>
                <m:t>1.669</m:t>
              </m:r>
              <m:r>
                <m:rPr>
                  <m:sty m:val="p"/>
                </m:rPr>
                <m:t>%</m:t>
              </m:r>
            </m:oMath>
          </w:p>
        </w:tc>
        <w:tc>
          <w:tcPr/>
          <w:p>
            <w:pPr>
              <w:pStyle w:val="Compact"/>
              <w:jc w:val="center"/>
            </w:pPr>
            <m:oMath>
              <m:r>
                <m:t>19.35</m:t>
              </m:r>
              <m:r>
                <m:rPr>
                  <m:sty m:val="p"/>
                </m:rPr>
                <m:t>%</m:t>
              </m:r>
            </m:oMath>
          </w:p>
        </w:tc>
        <w:tc>
          <w:tcPr/>
          <w:p>
            <w:pPr>
              <w:pStyle w:val="Compact"/>
              <w:jc w:val="center"/>
            </w:pPr>
            <m:oMath>
              <m:r>
                <m:t>0.9911</m:t>
              </m:r>
              <m:r>
                <m:rPr>
                  <m:sty m:val="p"/>
                </m:rPr>
                <m:t>%</m:t>
              </m:r>
            </m:oMath>
          </w:p>
        </w:tc>
      </w:tr>
      <w:tr>
        <w:tc>
          <w:tcPr/>
          <w:p>
            <w:pPr>
              <w:pStyle w:val="Compact"/>
              <w:jc w:val="center"/>
            </w:pPr>
            <w:r>
              <w:t xml:space="preserve">BA</w:t>
            </w:r>
          </w:p>
        </w:tc>
        <w:tc>
          <w:tcPr/>
          <w:p>
            <w:pPr>
              <w:pStyle w:val="Compact"/>
              <w:jc w:val="center"/>
            </w:pPr>
            <m:oMath>
              <m:r>
                <m:t>100</m:t>
              </m:r>
              <m:r>
                <m:rPr>
                  <m:sty m:val="p"/>
                </m:rPr>
                <m:t>%</m:t>
              </m:r>
            </m:oMath>
          </w:p>
        </w:tc>
        <w:tc>
          <w:tcPr/>
          <w:p>
            <w:pPr>
              <w:pStyle w:val="Compact"/>
              <w:jc w:val="center"/>
            </w:pPr>
            <m:oMath>
              <m:r>
                <m:t>99.65</m:t>
              </m:r>
              <m:r>
                <m:rPr>
                  <m:sty m:val="p"/>
                </m:rPr>
                <m:t>%</m:t>
              </m:r>
            </m:oMath>
          </w:p>
        </w:tc>
        <w:tc>
          <w:tcPr/>
          <w:p>
            <w:pPr>
              <w:pStyle w:val="Compact"/>
              <w:jc w:val="center"/>
            </w:pPr>
            <m:oMath>
              <m:r>
                <m:t>99.868</m:t>
              </m:r>
              <m:r>
                <m:rPr>
                  <m:sty m:val="p"/>
                </m:rPr>
                <m:t>%</m:t>
              </m:r>
            </m:oMath>
          </w:p>
        </w:tc>
        <w:tc>
          <w:tcPr/>
          <w:p>
            <w:pPr>
              <w:pStyle w:val="Compact"/>
              <w:jc w:val="center"/>
            </w:pPr>
            <m:oMath>
              <m:r>
                <m:t>99.67</m:t>
              </m:r>
              <m:r>
                <m:rPr>
                  <m:sty m:val="p"/>
                </m:rPr>
                <m:t>%</m:t>
              </m:r>
            </m:oMath>
          </w:p>
        </w:tc>
        <w:tc>
          <w:tcPr/>
          <w:p>
            <w:pPr>
              <w:pStyle w:val="Compact"/>
              <w:jc w:val="center"/>
            </w:pPr>
            <m:oMath>
              <m:r>
                <m:t>99.9737</m:t>
              </m:r>
              <m:r>
                <m:rPr>
                  <m:sty m:val="p"/>
                </m:rPr>
                <m:t>%</m:t>
              </m:r>
            </m:oMath>
          </w:p>
        </w:tc>
      </w:tr>
    </w:tbl>
    <w:bookmarkEnd w:id="60"/>
    <w:bookmarkStart w:id="61" w:name="Xaeecd2ecd40307013bc0d03f5868e5e72a85912"/>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Specificity</w:t>
            </w:r>
          </w:p>
        </w:tc>
        <w:tc>
          <w:tcPr/>
          <w:p>
            <w:pPr>
              <w:pStyle w:val="Compact"/>
              <w:jc w:val="center"/>
            </w:pPr>
            <m:oMath>
              <m:r>
                <m:t>99.8956</m:t>
              </m:r>
              <m:r>
                <m:rPr>
                  <m:sty m:val="p"/>
                </m:rPr>
                <m:t>%</m:t>
              </m:r>
            </m:oMath>
          </w:p>
        </w:tc>
        <w:tc>
          <w:tcPr/>
          <w:p>
            <w:pPr>
              <w:pStyle w:val="Compact"/>
              <w:jc w:val="center"/>
            </w:pPr>
            <m:oMath>
              <m:r>
                <m:t>99.76</m:t>
              </m:r>
              <m:r>
                <m:rPr>
                  <m:sty m:val="p"/>
                </m:rPr>
                <m:t>%</m:t>
              </m:r>
            </m:oMath>
          </w:p>
        </w:tc>
        <w:tc>
          <w:tcPr/>
          <w:p>
            <w:pPr>
              <w:pStyle w:val="Compact"/>
              <w:jc w:val="center"/>
            </w:pPr>
            <m:oMath>
              <m:r>
                <m:t>99.788</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50</m:t>
              </m:r>
              <m:r>
                <m:rPr>
                  <m:sty m:val="p"/>
                </m:rPr>
                <m:t>%</m:t>
              </m:r>
            </m:oMath>
          </w:p>
        </w:tc>
        <w:tc>
          <w:tcPr/>
          <w:p>
            <w:pPr>
              <w:pStyle w:val="Compact"/>
              <w:jc w:val="center"/>
            </w:pPr>
            <m:oMath>
              <m:r>
                <m:t>99.93</m:t>
              </m:r>
              <m:r>
                <m:rPr>
                  <m:sty m:val="p"/>
                </m:rPr>
                <m:t>%</m:t>
              </m:r>
            </m:oMath>
          </w:p>
        </w:tc>
        <w:tc>
          <w:tcPr/>
          <w:p>
            <w:pPr>
              <w:pStyle w:val="Compact"/>
              <w:jc w:val="center"/>
            </w:pPr>
            <m:oMath>
              <m:r>
                <m:t>87.097</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m:t>
              </m:r>
              <m:r>
                <m:rPr>
                  <m:sty m:val="p"/>
                </m:rPr>
                <m:t>%</m:t>
              </m:r>
            </m:oMath>
          </w:p>
        </w:tc>
        <w:tc>
          <w:tcPr/>
          <w:p>
            <w:pPr>
              <w:pStyle w:val="Compact"/>
              <w:jc w:val="center"/>
            </w:pPr>
            <m:oMath>
              <m:r>
                <m:t>0.8868</m:t>
              </m:r>
              <m:r>
                <m:rPr>
                  <m:sty m:val="p"/>
                </m:rPr>
                <m:t>%</m:t>
              </m:r>
            </m:oMath>
          </w:p>
        </w:tc>
      </w:tr>
      <w:tr>
        <w:tc>
          <w:tcPr/>
          <w:p>
            <w:pPr>
              <w:pStyle w:val="Compact"/>
              <w:jc w:val="center"/>
            </w:pPr>
            <w:r>
              <w:t xml:space="preserve">DP</w:t>
            </w:r>
          </w:p>
        </w:tc>
        <w:tc>
          <w:tcPr/>
          <w:p>
            <w:pPr>
              <w:pStyle w:val="Compact"/>
              <w:jc w:val="center"/>
            </w:pPr>
            <m:oMath>
              <m:r>
                <m:t>0.2087</m:t>
              </m:r>
              <m:r>
                <m:rPr>
                  <m:sty m:val="p"/>
                </m:rPr>
                <m:t>%</m:t>
              </m:r>
            </m:oMath>
          </w:p>
        </w:tc>
        <w:tc>
          <w:tcPr/>
          <w:p>
            <w:pPr>
              <w:pStyle w:val="Compact"/>
              <w:jc w:val="center"/>
            </w:pPr>
            <m:oMath>
              <m:r>
                <m:t>77.88</m:t>
              </m:r>
              <m:r>
                <m:rPr>
                  <m:sty m:val="p"/>
                </m:rPr>
                <m:t>%</m:t>
              </m:r>
            </m:oMath>
          </w:p>
        </w:tc>
        <w:tc>
          <w:tcPr/>
          <w:p>
            <w:pPr>
              <w:pStyle w:val="Compact"/>
              <w:jc w:val="center"/>
            </w:pPr>
            <m:oMath>
              <m:r>
                <m:t>1.617</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99.9478</m:t>
              </m:r>
              <m:r>
                <m:rPr>
                  <m:sty m:val="p"/>
                </m:rPr>
                <m:t>%</m:t>
              </m:r>
            </m:oMath>
          </w:p>
        </w:tc>
        <w:tc>
          <w:tcPr/>
          <w:p>
            <w:pPr>
              <w:pStyle w:val="Compact"/>
              <w:jc w:val="center"/>
            </w:pPr>
            <m:oMath>
              <m:r>
                <m:t>99.65</m:t>
              </m:r>
              <m:r>
                <m:rPr>
                  <m:sty m:val="p"/>
                </m:rPr>
                <m:t>%</m:t>
              </m:r>
            </m:oMath>
          </w:p>
        </w:tc>
        <w:tc>
          <w:tcPr/>
          <w:p>
            <w:pPr>
              <w:pStyle w:val="Compact"/>
              <w:jc w:val="center"/>
            </w:pPr>
            <m:oMath>
              <m:r>
                <m:t>99.894</m:t>
              </m:r>
              <m:r>
                <m:rPr>
                  <m:sty m:val="p"/>
                </m:rPr>
                <m:t>%</m:t>
              </m:r>
            </m:oMath>
          </w:p>
        </w:tc>
        <w:tc>
          <w:tcPr/>
          <w:p>
            <w:pPr>
              <w:pStyle w:val="Compact"/>
              <w:jc w:val="center"/>
            </w:pPr>
            <m:oMath>
              <m:r>
                <m:t>99.5</m:t>
              </m:r>
              <m:r>
                <m:rPr>
                  <m:sty m:val="p"/>
                </m:rPr>
                <m:t>%</m:t>
              </m:r>
            </m:oMath>
          </w:p>
        </w:tc>
        <w:tc>
          <w:tcPr/>
          <w:p>
            <w:pPr>
              <w:pStyle w:val="Compact"/>
              <w:jc w:val="center"/>
            </w:pPr>
            <m:oMath>
              <m:r>
                <m:t>97.1959</m:t>
              </m:r>
              <m:r>
                <m:rPr>
                  <m:sty m:val="p"/>
                </m:rPr>
                <m:t>%</m:t>
              </m:r>
            </m:oMath>
          </w:p>
        </w:tc>
      </w:tr>
    </w:tbl>
    <w:bookmarkEnd w:id="61"/>
    <w:bookmarkStart w:id="6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50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99.9478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0.0522</m:t>
              </m:r>
              <m:r>
                <m:rPr>
                  <m:sty m:val="p"/>
                </m:rPr>
                <m:t>%</m:t>
              </m:r>
            </m:oMath>
          </w:p>
        </w:tc>
        <w:tc>
          <w:tcPr/>
          <w:p>
            <w:pPr>
              <w:pStyle w:val="Compact"/>
              <w:jc w:val="center"/>
            </w:pPr>
            <m:oMath>
              <m:r>
                <m:t>78.2</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0.0522</m:t>
              </m:r>
              <m:r>
                <m:rPr>
                  <m:sty m:val="p"/>
                </m:rPr>
                <m:t>%</m:t>
              </m:r>
            </m:oMath>
          </w:p>
        </w:tc>
        <w:tc>
          <w:tcPr/>
          <w:p>
            <w:pPr>
              <w:pStyle w:val="Compact"/>
              <w:jc w:val="center"/>
            </w:pPr>
            <m:oMath>
              <m:r>
                <m:t>78.25</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75</m:t>
              </m:r>
              <m:r>
                <m:rPr>
                  <m:sty m:val="p"/>
                </m:rPr>
                <m:t>%</m:t>
              </m:r>
            </m:oMath>
          </w:p>
        </w:tc>
        <w:tc>
          <w:tcPr/>
          <w:p>
            <w:pPr>
              <w:pStyle w:val="Compact"/>
              <w:jc w:val="center"/>
            </w:pPr>
            <m:oMath>
              <m:r>
                <m:t>99.88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62"/>
    <w:bookmarkEnd w:id="63"/>
    <w:bookmarkEnd w:id="64"/>
    <w:bookmarkStart w:id="65" w:name="sec:Discussion"/>
    <w:p>
      <w:pPr>
        <w:pStyle w:val="Heading1"/>
      </w:pPr>
      <w:r>
        <w:t xml:space="preserve">Discussion</w:t>
      </w:r>
    </w:p>
    <w:p>
      <w:pPr>
        <w:pStyle w:val="FirstParagraph"/>
      </w:pPr>
      <w:r>
        <w:t xml:space="preserve">The Neural Network (NN)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it achieved a</w:t>
      </w:r>
      <w:r>
        <w:t xml:space="preserve"> </w:t>
      </w:r>
      <m:oMath>
        <m:r>
          <m:t>100</m:t>
        </m:r>
        <m:r>
          <m:rPr>
            <m:sty m:val="p"/>
          </m:rPr>
          <m:t>%</m:t>
        </m:r>
      </m:oMath>
      <w:r>
        <w:t xml:space="preserve"> </w:t>
      </w:r>
      <w:r>
        <w:t xml:space="preserve">accuracy, shown in Table </w:t>
      </w:r>
      <w:hyperlink w:anchor="tab:acc:all">
        <w:r>
          <w:rPr>
            <w:rStyle w:val="Hyperlink"/>
          </w:rPr>
          <w:t xml:space="preserve">10</w:t>
        </w:r>
      </w:hyperlink>
      <w:r>
        <w:t xml:space="preserve">. The Naive Bayes (NB) model has the second highest accuracy, over</w:t>
      </w:r>
      <w:r>
        <w:t xml:space="preserve"> </w:t>
      </w:r>
      <m:oMath>
        <m:r>
          <m:t>99</m:t>
        </m:r>
        <m:r>
          <m:rPr>
            <m:sty m:val="p"/>
          </m:rPr>
          <m:t>%</m:t>
        </m:r>
      </m:oMath>
      <w:r>
        <w:t xml:space="preserve">. The NB model achieved a</w:t>
      </w:r>
      <w:r>
        <w:t xml:space="preserve"> </w:t>
      </w:r>
      <m:oMath>
        <m:r>
          <m:t>100</m:t>
        </m:r>
        <m:r>
          <m:rPr>
            <m:sty m:val="p"/>
          </m:rPr>
          <m:t>%</m:t>
        </m:r>
      </m:oMath>
      <w:r>
        <w:t xml:space="preserve"> </w:t>
      </w:r>
      <w:r>
        <w:t xml:space="preserve">accuracy, except when using all input variables, all input variables except Disturbance Storm-Time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NN and the NB model is negligible, and the training time for the NN model is more than twice as long. An analysis in 2004 showed reasonable theoretical reasons for the seemingly incredible performance of NB classifiers (H. Zhang, 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DT model did not consider any variable except</w:t>
      </w:r>
      <w:r>
        <w:t xml:space="preserve"> </w:t>
      </w:r>
      <m:oMath>
        <m:r>
          <m:t>D</m:t>
        </m:r>
        <m:r>
          <m:t>s</m:t>
        </m:r>
        <m:r>
          <m:t>t</m:t>
        </m:r>
      </m:oMath>
      <w:r>
        <w:t xml:space="preserve">, indicated by a</w:t>
      </w:r>
      <w:r>
        <w:t xml:space="preserve"> </w:t>
      </w:r>
      <m:oMath>
        <m:r>
          <m:t>100</m:t>
        </m:r>
        <m:r>
          <m:rPr>
            <m:sty m:val="p"/>
          </m:rPr>
          <m:t>%</m:t>
        </m:r>
      </m:oMath>
      <w:r>
        <w:t xml:space="preserve"> </w:t>
      </w:r>
      <w:r>
        <w:t xml:space="preserve">variable importance. The Support Vector Machine (SVM) model with a Polynomial Kernel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NB model by individual class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samples of the T class are all correctly classified except for one case, but the testing is less extensive since it is the second smallest class. Samples of the P class are all correctly classified. Samples of the R class are sometimes erroneously assigned to the N, T, or less commonly the E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two testing samples, which must be accounted for when interpreting these results, such as the lowest balanced accuracy of</w:t>
      </w:r>
      <w:r>
        <w:t xml:space="preserve"> </w:t>
      </w:r>
      <m:oMath>
        <m:r>
          <m:t>75</m:t>
        </m:r>
        <m:r>
          <m:rPr>
            <m:sty m:val="p"/>
          </m:rPr>
          <m:t>%</m:t>
        </m:r>
      </m:oMath>
      <w:r>
        <w:t xml:space="preserve"> </w:t>
      </w:r>
      <w:r>
        <w:t xml:space="preserve">and sensitivity of</w:t>
      </w:r>
      <w:r>
        <w:t xml:space="preserve"> </w:t>
      </w:r>
      <m:oMath>
        <m:r>
          <m:t>50</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50</m:t>
        </m:r>
        <m:r>
          <m:rPr>
            <m:sty m:val="p"/>
          </m:rPr>
          <m:t>%</m:t>
        </m:r>
      </m:oMath>
      <w:r>
        <w:t xml:space="preserve"> </w:t>
      </w:r>
      <w:r>
        <w:t xml:space="preserve">when using all variables as input.</w:t>
      </w:r>
    </w:p>
    <w:bookmarkEnd w:id="65"/>
    <w:bookmarkStart w:id="66"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and other input data.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the NN model, and the total execution time is at least two times shorter, making it more suitable for use in compact, low-performance, and low-cost portable devices such as smartphones.</w:t>
      </w:r>
    </w:p>
    <w:bookmarkEnd w:id="66"/>
    <w:bookmarkStart w:id="67"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SVC</w:t>
      </w:r>
      <w:r>
        <w:t xml:space="preserve"> </w:t>
      </w:r>
      <w:r>
        <w:t xml:space="preserve">Support Vector Clustering</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7"/>
    <w:bookmarkStart w:id="74" w:name="declarations"/>
    <w:p>
      <w:pPr>
        <w:pStyle w:val="Heading1"/>
      </w:pPr>
      <w:r>
        <w:t xml:space="preserve">Declarations</w:t>
      </w:r>
    </w:p>
    <w:bookmarkStart w:id="68"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8"/>
    <w:bookmarkStart w:id="69" w:name="competing-interests"/>
    <w:p>
      <w:pPr>
        <w:pStyle w:val="Heading2"/>
      </w:pPr>
      <w:r>
        <w:t xml:space="preserve">Competing interests</w:t>
      </w:r>
    </w:p>
    <w:p>
      <w:pPr>
        <w:pStyle w:val="FirstParagraph"/>
      </w:pPr>
      <w:r>
        <w:t xml:space="preserve">The authors declare no conflict of interest.</w:t>
      </w:r>
    </w:p>
    <w:bookmarkEnd w:id="69"/>
    <w:bookmarkStart w:id="70" w:name="funding"/>
    <w:p>
      <w:pPr>
        <w:pStyle w:val="Heading2"/>
      </w:pPr>
      <w:r>
        <w:t xml:space="preserve">Funding</w:t>
      </w:r>
    </w:p>
    <w:p>
      <w:pPr>
        <w:pStyle w:val="FirstParagraph"/>
      </w:pPr>
      <w:r>
        <w:t xml:space="preserve">The authors have no funding sources to declare.</w:t>
      </w:r>
    </w:p>
    <w:bookmarkEnd w:id="70"/>
    <w:bookmarkStart w:id="71" w:name="authors-contributions"/>
    <w:p>
      <w:pPr>
        <w:pStyle w:val="Heading2"/>
      </w:pPr>
      <w:r>
        <w:t xml:space="preserve">Authors’ contributions</w:t>
      </w:r>
    </w:p>
    <w:p>
      <w:pPr>
        <w:pStyle w:val="FirstParagraph"/>
      </w:pPr>
      <w:r>
        <w:t xml:space="preserve">LŽ and DK contributed to conceptualization, methodology, software, validation, formal analysis, investigation, data curation, writing of the original draft, reviewing and editing the text, and visualization. TI contributed to validation, formal analysis, investigation, review and editing, supervision, and project administration. RF contributed to conceptualization, methodology, investigation, resources, writing of the original draft, reviewing and editing the text, and supervision. All authors read and approved the final manuscript.</w:t>
      </w:r>
    </w:p>
    <w:bookmarkEnd w:id="71"/>
    <w:bookmarkStart w:id="72" w:name="acknowledgements"/>
    <w:p>
      <w:pPr>
        <w:pStyle w:val="Heading2"/>
      </w:pPr>
      <w:r>
        <w:t xml:space="preserve">Acknowledgements</w:t>
      </w:r>
    </w:p>
    <w:p>
      <w:pPr>
        <w:pStyle w:val="FirstParagraph"/>
      </w:pPr>
      <w:r>
        <w:t xml:space="preserve">Not applicable</w:t>
      </w:r>
    </w:p>
    <w:bookmarkEnd w:id="72"/>
    <w:bookmarkStart w:id="73"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3"/>
    <w:bookmarkEnd w:id="74"/>
    <w:bookmarkStart w:id="75"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G. K. Seemala,</w:t>
      </w:r>
      <w:r>
        <w:t xml:space="preserve"> </w:t>
      </w:r>
      <w:r>
        <w:t xml:space="preserve">“Chapter 4 - Estimation of ionospheric total electron content (TEC) from GNSS observations,”</w:t>
      </w:r>
      <w:r>
        <w:t xml:space="preserve"> </w:t>
      </w:r>
      <w:r>
        <w:t xml:space="preserve">in Atmospheric Remote Sensing, A. Kumar Singh and S. Tiwari, Eds. Amsterdam, Netherlands: Elsevier, 2023, pp. 63–84. doi: https://doi.org/10.1016/B978-0-323-99262-6.00022-5.</w:t>
      </w:r>
    </w:p>
    <w:p>
      <w:pPr>
        <w:pStyle w:val="BodyText"/>
      </w:pPr>
      <w:r>
        <w:t xml:space="preserve">[8]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[9]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[10]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[11] NOAA, NOAA Space Weather Scales | NOAA / NWS Space Weather Prediction Center — swpc.noaa.gov. https://www.swpc.noaa.gov/noaa-scales-explanation, 2024. [Online] . Available: https://www.swpc.noaa.gov/noaa-scales-explanation</w:t>
      </w:r>
    </w:p>
    <w:p>
      <w:pPr>
        <w:pStyle w:val="BodyText"/>
      </w:pPr>
      <w:r>
        <w:t xml:space="preserve">[12]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[13] INTERMAGNET and others, Intermagnet reference data set (IRDS) 2019 – definitive magnetic observatory data. GFZ Data Services, 2022. doi: https://doi.org/10.5880/INTERMAGNET.1991.2019.</w:t>
      </w:r>
    </w:p>
    <w:p>
      <w:pPr>
        <w:pStyle w:val="BodyText"/>
      </w:pPr>
      <w:r>
        <w:t xml:space="preserve">[14] M. Kuhn, Applied predictive modeling. Springer, 2013.</w:t>
      </w:r>
    </w:p>
    <w:p>
      <w:pPr>
        <w:pStyle w:val="BodyText"/>
      </w:pPr>
      <w:r>
        <w:t xml:space="preserve">[15] M. Kuhn, The caret Package — topepo.github.io. https://topepo.github.io/caret/, 2024. [Online] . Available: https://topepo.github.io/caret/</w:t>
      </w:r>
    </w:p>
    <w:p>
      <w:pPr>
        <w:pStyle w:val="BodyText"/>
      </w:pPr>
      <w:r>
        <w:t xml:space="preserve">[16] RCoreTeam, R: The R Project for Statistical Computing — r-project.org. https://www.r-project.org/, 2024. [Online] . Available: https://www.r-project.org/</w:t>
      </w:r>
    </w:p>
    <w:p>
      <w:pPr>
        <w:pStyle w:val="BodyText"/>
      </w:pPr>
      <w:r>
        <w:t xml:space="preserve">[17] C. Cortes and V. Vapnik,</w:t>
      </w:r>
      <w:r>
        <w:t xml:space="preserve"> </w:t>
      </w:r>
      <w:r>
        <w:t xml:space="preserve">“Support-vector networks,”</w:t>
      </w:r>
      <w:r>
        <w:t xml:space="preserve"> </w:t>
      </w:r>
      <w:r>
        <w:t xml:space="preserve">Mach. Learn., vol. 20, no. 3, pp. 273–297, Sep. 1995.</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B. E. Boser, I. M. Guyon, and V. N. Vapnik,</w:t>
      </w:r>
      <w:r>
        <w:t xml:space="preserve"> </w:t>
      </w:r>
      <w:r>
        <w:t xml:space="preserve">“A training algorithm for optimal margin classifiers,”</w:t>
      </w:r>
      <w:r>
        <w:t xml:space="preserve"> </w:t>
      </w:r>
      <w:r>
        <w:t xml:space="preserve">Jul. 1992.</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T. Hastie, S. Rosset, J. Zhu, and H. Zou,</w:t>
      </w:r>
      <w:r>
        <w:t xml:space="preserve"> </w:t>
      </w:r>
      <w:r>
        <w:t xml:space="preserve">“Multi-class AdaBoost,”</w:t>
      </w:r>
      <w:r>
        <w:t xml:space="preserve"> </w:t>
      </w:r>
      <w:r>
        <w:t xml:space="preserve">Stat. Interface, vol. 2, no. 3, pp. 349–360, 2009.</w:t>
      </w:r>
    </w:p>
    <w:p>
      <w:pPr>
        <w:pStyle w:val="BodyText"/>
      </w:pPr>
      <w:r>
        <w:t xml:space="preserve">[22]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[23]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[24]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[25] W. H. Press, S. A. Teukolsky, W. T. Vetterling, and B. P. Flannery, Numerical recipes 3rd edition, Third. Cambridge, England: Cambridge University Press, 2007.</w:t>
      </w:r>
    </w:p>
    <w:p>
      <w:pPr>
        <w:pStyle w:val="BodyText"/>
      </w:pPr>
      <w:r>
        <w:t xml:space="preserve">[26]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[27] L. Rokach and O. Maimon, Data mining with decision trees. Singapore: World Scientific Publishing Company, 2014.</w:t>
      </w:r>
    </w:p>
    <w:p>
      <w:pPr>
        <w:pStyle w:val="BodyText"/>
      </w:pPr>
      <w:r>
        <w:t xml:space="preserve">[28]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[29] X. Wu et al.,</w:t>
      </w:r>
      <w:r>
        <w:t xml:space="preserve"> </w:t>
      </w:r>
      <w:r>
        <w:t xml:space="preserve">“Top 10 algorithms in data mining,”</w:t>
      </w:r>
      <w:r>
        <w:t xml:space="preserve"> </w:t>
      </w:r>
      <w:r>
        <w:t xml:space="preserve">Knowl. Inf. Syst., vol. 14, no. 1, pp. 1–37, Jan. 2008.</w:t>
      </w:r>
    </w:p>
    <w:p>
      <w:pPr>
        <w:pStyle w:val="BodyText"/>
      </w:pPr>
      <w:r>
        <w:t xml:space="preserve">[30]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[31] J. R. Quinlan,</w:t>
      </w:r>
      <w:r>
        <w:t xml:space="preserve"> </w:t>
      </w:r>
      <w:r>
        <w:t xml:space="preserve">“Induction of decision trees,”</w:t>
      </w:r>
      <w:r>
        <w:t xml:space="preserve"> </w:t>
      </w:r>
      <w:r>
        <w:t xml:space="preserve">Mach. Learn., vol. 1, no. 1, pp. 81–106, Mar. 1986.</w:t>
      </w:r>
    </w:p>
    <w:p>
      <w:pPr>
        <w:pStyle w:val="BodyText"/>
      </w:pPr>
      <w:r>
        <w:t xml:space="preserve">[32]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[33] D. J. Hand and K. Yu,</w:t>
      </w:r>
      <w:r>
        <w:t xml:space="preserve"> </w:t>
      </w:r>
      <w:r>
        <w:t xml:space="preserve">“Idiot’s Bayes: Not So Stupid after All?,”</w:t>
      </w:r>
      <w:r>
        <w:t xml:space="preserve"> </w:t>
      </w:r>
      <w:r>
        <w:t xml:space="preserve">Int. Stat. Rev., vol. 69, no. 3, p. 385, Dec. 2001.</w:t>
      </w:r>
    </w:p>
    <w:p>
      <w:pPr>
        <w:pStyle w:val="BodyText"/>
      </w:pPr>
      <w:r>
        <w:t xml:space="preserve">[34] A. McCallum, Graphical Models Lecture 2: Bayesian Network Representation. https://people.cs.umass.edu/ mccallum/courses/gm2011/02-bn-rep.pdf, 2011. [Online] . Available: https://people.cs.umass.edu/ mccallum/courses/gm2011/02-bn-rep.pdf</w:t>
      </w:r>
    </w:p>
    <w:p>
      <w:pPr>
        <w:pStyle w:val="BodyText"/>
      </w:pPr>
      <w:r>
        <w:t xml:space="preserve">[35] S. J. Russell and P. Norvig, Artificial intelligence: a modern approach. London, England: Pearson, 2016.</w:t>
      </w:r>
    </w:p>
    <w:p>
      <w:pPr>
        <w:pStyle w:val="BodyText"/>
      </w:pPr>
      <w:r>
        <w:t xml:space="preserve">[36]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[37]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[38] G. H. John and P. Langley, Estimating Continuous Distributions in Bayesian Classifiers. 2013.</w:t>
      </w:r>
    </w:p>
    <w:p>
      <w:pPr>
        <w:pStyle w:val="BodyText"/>
      </w:pPr>
      <w:r>
        <w:t xml:space="preserve">[39]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[40] M. N. Murty and V. S. Devi, Pattern recognition: An algorithmic approach. Berlin/Heidelberg, Germany: Springer Science &amp; Business Media, 2011.</w:t>
      </w:r>
    </w:p>
    <w:p>
      <w:pPr>
        <w:pStyle w:val="BodyText"/>
      </w:pPr>
      <w:r>
        <w:t xml:space="preserve">[41] MIT, Explained: Neural networks — news.mit.edu. https://news.mit.edu/2017/explained-neural-networks-deep-learning-0414, 2017. [Online] . Available: https://news.mit.edu/2017/explained-neural-networks-deep-learning-0414</w:t>
      </w:r>
    </w:p>
    <w:p>
      <w:pPr>
        <w:pStyle w:val="BodyText"/>
      </w:pPr>
      <w:r>
        <w:t xml:space="preserve">[42] A. Brahme, Comprehensive biomedical physics. 8-11 Southampton Street, London: Newnes, 2014.</w:t>
      </w:r>
    </w:p>
    <w:p>
      <w:pPr>
        <w:pStyle w:val="BodyText"/>
      </w:pPr>
      <w:r>
        <w:t xml:space="preserve">[43]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[44]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[45] C. Bishop, Pattern Recognition and Machine Learning. Berlin/Heidelberg, Germany: Springer, 2006.</w:t>
      </w:r>
    </w:p>
    <w:p>
      <w:pPr>
        <w:pStyle w:val="BodyText"/>
      </w:pPr>
      <w:r>
        <w:t xml:space="preserve">[46] V. Vapnik, The nature of statistical learning theory. Berlin/Heidelberg, Germany: Springer science &amp; business media, 2013.</w:t>
      </w:r>
    </w:p>
    <w:p>
      <w:pPr>
        <w:pStyle w:val="BodyText"/>
      </w:pPr>
      <w:r>
        <w:t xml:space="preserve">[47] I. Goodfellow, Deep learning. MIT press, 2016.</w:t>
      </w:r>
    </w:p>
    <w:p>
      <w:pPr>
        <w:pStyle w:val="BodyText"/>
      </w:pPr>
      <w:r>
        <w:t xml:space="preserve">[48]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[49]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[50] F. M. Stewart, Introduction to linear algebra. Mineola, New York, USA: Courier Dover Publications, 2019.</w:t>
      </w:r>
    </w:p>
    <w:p>
      <w:pPr>
        <w:pStyle w:val="BodyText"/>
      </w:pPr>
      <w:r>
        <w:t xml:space="preserve">[51]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[52] B. D. Ripley, Pattern recognition and neural networks. Cambridge, United Kingdom: Cambridge university press, 2007.</w:t>
      </w:r>
    </w:p>
    <w:p>
      <w:pPr>
        <w:pStyle w:val="BodyText"/>
      </w:pPr>
      <w:r>
        <w:t xml:space="preserve">[53]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[54]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[55]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[56]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[57]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[58]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[59]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[60]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[61]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[62] A. Höskuldsson,</w:t>
      </w:r>
      <w:r>
        <w:t xml:space="preserve"> </w:t>
      </w:r>
      <w:r>
        <w:t xml:space="preserve">“PLS regression methods,”</w:t>
      </w:r>
      <w:r>
        <w:t xml:space="preserve"> </w:t>
      </w:r>
      <w:r>
        <w:t xml:space="preserve">Journal of chemometrics, vol. 2, no. 3, pp. 211–228, 1988.</w:t>
      </w:r>
    </w:p>
    <w:p>
      <w:pPr>
        <w:pStyle w:val="BodyText"/>
      </w:pPr>
      <w:r>
        <w:t xml:space="preserve">[63]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[64] G. J. McLachlan, Discriminant analysis and statistical pattern recognition. Hoboken, New Jersey, U.S.: John Wiley &amp; Sons, 2005.</w:t>
      </w:r>
    </w:p>
    <w:p>
      <w:pPr>
        <w:pStyle w:val="BodyText"/>
      </w:pPr>
      <w:r>
        <w:t xml:space="preserve">[65]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[66] T. Hastie, R. Tibshirani, J. H. Friedman, and J. H. Friedman, The elements of statistical learning: data mining, inference, and prediction, vol. 2. Berlin/Heidelberg, Germany: Springer, 2009.</w:t>
      </w:r>
    </w:p>
    <w:p>
      <w:pPr>
        <w:pStyle w:val="BodyText"/>
      </w:pPr>
      <w:r>
        <w:t xml:space="preserve">[67]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[68]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[69]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[70]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[71]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[72]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[73]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[74] D. Wetcher-Hendricks, Analyzing quantitative data: An introduction for social researchers. Hoboken, New Jersey, U.S.: John Wiley &amp; Sons, 2011.</w:t>
      </w:r>
    </w:p>
    <w:p>
      <w:pPr>
        <w:pStyle w:val="BodyText"/>
      </w:pPr>
      <w:r>
        <w:t xml:space="preserve">[75] J. Cohen, P. Cohen, S. G. West, and L. S. Aiken, Applied multiple regression/correlation analysis for the behavioral sciences. Milton Park, Abingdon-on-Thames, Oxfordshire, England, UK: Routledge, 2013.</w:t>
      </w:r>
    </w:p>
    <w:p>
      <w:pPr>
        <w:pStyle w:val="BodyText"/>
      </w:pPr>
      <w:r>
        <w:t xml:space="preserve">[76]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[77]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[78] J. Hansen, Using SPSS for windows and macintosh: analyzing and understanding data. Taylor &amp; Francis, 2005.</w:t>
      </w:r>
    </w:p>
    <w:p>
      <w:pPr>
        <w:pStyle w:val="BodyText"/>
      </w:pPr>
      <w:r>
        <w:t xml:space="preserve">[79] J. A. Klobuchar,</w:t>
      </w:r>
      <w:r>
        <w:t xml:space="preserve"> </w:t>
      </w:r>
      <w:r>
        <w:t xml:space="preserve">“Design and characteristics of the GPS ionospheric time delay algorithm for single frequency users,”</w:t>
      </w:r>
      <w:r>
        <w:t xml:space="preserve"> </w:t>
      </w:r>
      <w:r>
        <w:t xml:space="preserve">in PLANS 1986-Position Location and Navigation Symposium, 1986, pp. 280–286.</w:t>
      </w:r>
    </w:p>
    <w:p>
      <w:pPr>
        <w:pStyle w:val="BodyText"/>
      </w:pPr>
      <w:r>
        <w:t xml:space="preserve">[80] B. Zolesi and Lj. R. Cander, Ionospheric prediction and forecasting. Berlin/Heidelberg, Germany: Springer, 2014.</w:t>
      </w:r>
    </w:p>
    <w:p>
      <w:pPr>
        <w:pStyle w:val="BodyText"/>
      </w:pPr>
      <w:r>
        <w:t xml:space="preserve">[81] A. Komjathy,</w:t>
      </w:r>
      <w:r>
        <w:t xml:space="preserve"> </w:t>
      </w:r>
      <w:r>
        <w:t xml:space="preserve">“Global ionospheric total electron content mapping using the Global Positioning System,”</w:t>
      </w:r>
      <w:r>
        <w:t xml:space="preserve"> </w:t>
      </w:r>
      <w:r>
        <w:t xml:space="preserve">University of New Brunswick, Department of Geodesy, techreport, 1997. [Online] . Available: https://api.semanticscholar.org/CorpusID:128511894</w:t>
      </w:r>
    </w:p>
    <w:p>
      <w:pPr>
        <w:pStyle w:val="BodyText"/>
      </w:pPr>
      <w:r>
        <w:t xml:space="preserve">[82] NOAA, HF Radio Communications | NOAA / NWS Space Weather Prediction Center — swpc.noaa.gov. http://www.swpc.noaa.gov/impacts/hf-radio-communications, 2024. [Online] . Available: http://www.swpc.noaa.gov/impacts/hf-radio-communications</w:t>
      </w:r>
    </w:p>
    <w:p>
      <w:pPr>
        <w:pStyle w:val="BodyText"/>
      </w:pPr>
      <w:r>
        <w:t xml:space="preserve">[83] S. Kotz, N. Balakrishnan, C. B. Read, B. Vidakovic, and N. L. Johnson, Encyclopedia of Statistical Sciences, Volume 1. Hoboken, New Jersey, U.S.: John Wiley &amp; Sons, 2005.</w:t>
      </w:r>
    </w:p>
    <w:p>
      <w:pPr>
        <w:pStyle w:val="BodyText"/>
      </w:pPr>
      <w:r>
        <w:t xml:space="preserve">[84]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w:t>
      </w:r>
    </w:p>
    <w:p>
      <w:pPr>
        <w:pStyle w:val="BodyText"/>
      </w:pPr>
      <w:r>
        <w:t xml:space="preserve">[85] M. Liu, G. Luo, and H. Wang,</w:t>
      </w:r>
      <w:r>
        <w:t xml:space="preserve"> </w:t>
      </w:r>
      <w:r>
        <w:t xml:space="preserve">“The 2013 Lushan earthquake in China tests hazard assessments,”</w:t>
      </w:r>
      <w:r>
        <w:t xml:space="preserve"> </w:t>
      </w:r>
      <w:r>
        <w:t xml:space="preserve">Seismological Research Letters, vol. 85, no. 1, pp. 40–43, 2014.</w:t>
      </w:r>
    </w:p>
    <w:p>
      <w:pPr>
        <w:pStyle w:val="BodyText"/>
      </w:pPr>
      <w:r>
        <w:t xml:space="preserve">[86] M. Ulukavak and M. Yalcinkaya,</w:t>
      </w:r>
      <w:r>
        <w:t xml:space="preserve"> </w:t>
      </w:r>
      <w:r>
        <w:t xml:space="preserve">“Analysis of ionospheric anomalies due to space weather conditions by using GPS-TEC variations,”</w:t>
      </w:r>
      <w:r>
        <w:t xml:space="preserve"> </w:t>
      </w:r>
      <w:r>
        <w:t xml:space="preserve">in FIG Congress, 2018, pp. 6–11.</w:t>
      </w:r>
    </w:p>
    <w:p>
      <w:pPr>
        <w:pStyle w:val="BodyText"/>
      </w:pPr>
      <w:r>
        <w:t xml:space="preserve">[87] R. Schwenn,</w:t>
      </w:r>
      <w:r>
        <w:t xml:space="preserve"> </w:t>
      </w:r>
      <w:r>
        <w:t xml:space="preserve">“Solar wind: Global properties,”</w:t>
      </w:r>
      <w:r>
        <w:t xml:space="preserve"> </w:t>
      </w:r>
      <w:r>
        <w:t xml:space="preserve">in Encyclopedia of Astronomy &amp; Astrophysics, Boca Raton, Florida, USA: CRC Press, 2001, pp. 1–9.</w:t>
      </w:r>
    </w:p>
    <w:p>
      <w:pPr>
        <w:pStyle w:val="BodyText"/>
      </w:pPr>
      <w:r>
        <w:t xml:space="preserve">[88] V. F. Melnikov,</w:t>
      </w:r>
      <w:r>
        <w:t xml:space="preserve"> </w:t>
      </w:r>
      <w:r>
        <w:t xml:space="preserve">“Relationships between Microwave, Hard X ray, and Corpuscular Emissions of Solar Flares,”</w:t>
      </w:r>
      <w:r>
        <w:t xml:space="preserve"> </w:t>
      </w:r>
      <w:r>
        <w:t xml:space="preserve">phdthesis, Ph. D. Thesis, Radiophysical Research Institute, Nizhniy Novgorod, Russia, 1990.</w:t>
      </w:r>
    </w:p>
    <w:p>
      <w:pPr>
        <w:pStyle w:val="BodyText"/>
      </w:pPr>
      <w:r>
        <w:t xml:space="preserve">[89] A. P. I. Android developers, Sensor types | Android Open Source Project — source.android.com. https://source.android.com/docs/core/interaction/sensors/sensor-types#magnetic_field_sensor, 2024. [Online] . Available: https://source.android.com/docs/core/interaction/sensors/sensor-types#magnetic_field_sensor</w:t>
      </w:r>
    </w:p>
    <w:p>
      <w:pPr>
        <w:pStyle w:val="BodyText"/>
      </w:pPr>
      <w:r>
        <w:t xml:space="preserve">[90] M. H. De Canck,</w:t>
      </w:r>
      <w:r>
        <w:t xml:space="preserve"> </w:t>
      </w:r>
      <w:r>
        <w:t xml:space="preserve">“Ionosphere properties and behaviors,”</w:t>
      </w:r>
      <w:r>
        <w:t xml:space="preserve"> </w:t>
      </w:r>
      <w:r>
        <w:t xml:space="preserve">Antennex, vol. 119, pp. 6–7, 2007.</w:t>
      </w:r>
    </w:p>
    <w:p>
      <w:pPr>
        <w:pStyle w:val="BodyText"/>
      </w:pPr>
      <w:r>
        <w:t xml:space="preserve">[91] NOAA, swpc.noaa.gov. https://www.swpc.noaa.gov/sites/default/files/images/u2/TheK-index.pdf, 2024. [Online] . Available: https://www.swpc.noaa.gov/sites/default/files/images/u2/TheK-index.pdf</w:t>
      </w:r>
    </w:p>
    <w:p>
      <w:pPr>
        <w:pStyle w:val="BodyText"/>
      </w:pPr>
      <w:r>
        <w:t xml:space="preserve">[92] J. Matzka, Kp Index — gfz-potsdam.de. https://www.gfz-potsdam.de/en/section/geomagnetism/data-products-services/geomagnetic-kp-index, 2024. [Online] . Available: https://www.gfz-potsdam.de/en/section/geomagnetism/data-products-services/geomagnetic-kp-index</w:t>
      </w:r>
    </w:p>
    <w:p>
      <w:pPr>
        <w:pStyle w:val="BodyText"/>
      </w:pPr>
      <w:r>
        <w:t xml:space="preserve">[93] NOAA, Alerts, Watches and Warnings | NOAA / NWS Space Weather Prediction Center — swpc.noaa.gov. https://www.swpc.noaa.gov/products/alerts-watches-and-warnings, 2024. [Online] . Available: https://www.swpc.noaa.gov/products/alerts-watches-and-warnings</w:t>
      </w:r>
    </w:p>
    <w:p>
      <w:pPr>
        <w:pStyle w:val="BodyText"/>
      </w:pPr>
      <w:r>
        <w:t xml:space="preserve">[94] N. Papitashvili, SPDF - About OMNIWeb Data — omniweb.gsfc.nasa.gov. http://omniweb.gsfc.nasa.gov/html/ow_data.html, 2024. [Online] . Available: http://omniweb.gsfc.nasa.gov/html/ow_data.html</w:t>
      </w:r>
    </w:p>
    <w:p>
      <w:pPr>
        <w:pStyle w:val="BodyText"/>
      </w:pPr>
      <w:r>
        <w:t xml:space="preserve">[95] N. Papitashvili, OMNIWeb Data Explorer — omniweb.gsfc.nasa.gov. http://omniweb.gsfc.nasa.gov/form/dx1.html, 2024. [Online] . Available: http://omniweb.gsfc.nasa.gov/form/dx1.html</w:t>
      </w:r>
    </w:p>
    <w:p>
      <w:pPr>
        <w:pStyle w:val="BodyText"/>
      </w:pPr>
      <w:r>
        <w:t xml:space="preserve">[96]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https://doi.org/10.1016/j.asr.2022.06.024.</w:t>
      </w:r>
    </w:p>
    <w:p>
      <w:pPr>
        <w:pStyle w:val="BodyText"/>
      </w:pPr>
      <w:r>
        <w:t xml:space="preserve">[97] NOAA, swpc.noaa.gov. https://www.swpc.noaa.gov/sites/default/files/images/NOAAscales.pdf, 2024. [Online] . Available: https://www.swpc.noaa.gov/sites/default/files/images/NOAAscales.pdf</w:t>
      </w:r>
    </w:p>
    <w:p>
      <w:pPr>
        <w:pStyle w:val="BodyText"/>
      </w:pPr>
      <w:r>
        <w:t xml:space="preserve">[98] J. Matzka, O. Bronkalla, K. Tornow, K. Elger, and C. Stolle, Geomagnetic Kp index. GFZ Data Services, 2021. doi: https://doi.org/10.1016/j.asr.2022.06.024.</w:t>
      </w:r>
    </w:p>
    <w:p>
      <w:pPr>
        <w:pStyle w:val="BodyText"/>
      </w:pPr>
      <w:r>
        <w:t xml:space="preserve">[99] J. Matzka, C. Stolle, Y. Yamazaki, O. Bronkalla, and A. Morschhauser, The geomagnetic KP index and derived indices of geomagnetic activity, vol. 19. American Geophysical Union (AGU), 2021. doi: https://doi.org/10.1029/2020SW002641.</w:t>
      </w:r>
    </w:p>
    <w:p>
      <w:pPr>
        <w:pStyle w:val="BodyText"/>
      </w:pPr>
      <w:r>
        <w:t xml:space="preserve">[100] NOAA, Geomagnetic kp and ap Indices | NCEI — ngdc.noaa.gov. https://www.ngdc.noaa.gov/stp/GEOMAG/kp_ap.html, 2024. [Online] . Available: https://www.ngdc.noaa.gov/stp/GEOMAG/kp_ap.html</w:t>
      </w:r>
    </w:p>
    <w:p>
      <w:pPr>
        <w:pStyle w:val="BodyText"/>
      </w:pPr>
      <w:r>
        <w:t xml:space="preserve">[101] C. A. Loewe and G. W. Prölss,</w:t>
      </w:r>
      <w:r>
        <w:t xml:space="preserve"> </w:t>
      </w:r>
      <w:r>
        <w:t xml:space="preserve">“Classification and mean behavior of magnetic storms,”</w:t>
      </w:r>
      <w:r>
        <w:t xml:space="preserve"> </w:t>
      </w:r>
      <w:r>
        <w:t xml:space="preserve">Journal of Geophysical Research: Space Physics, vol. 102, no. A7, pp. 14209–14213, 1997.</w:t>
      </w:r>
    </w:p>
    <w:p>
      <w:pPr>
        <w:pStyle w:val="BodyText"/>
      </w:pPr>
      <w:r>
        <w:t xml:space="preserve">[102] W. D. Gonzalez et al.,</w:t>
      </w:r>
      <w:r>
        <w:t xml:space="preserve"> </w:t>
      </w:r>
      <w:r>
        <w:t xml:space="preserve">“What is a geomagnetic storm?,”</w:t>
      </w:r>
      <w:r>
        <w:t xml:space="preserve"> </w:t>
      </w:r>
      <w:r>
        <w:t xml:space="preserve">Journal of Geophysical Research: Space Physics, vol. 99, no. A4, pp. 5771–5792, 1994.</w:t>
      </w:r>
    </w:p>
    <w:p>
      <w:pPr>
        <w:pStyle w:val="BodyText"/>
      </w:pPr>
      <w:r>
        <w:t xml:space="preserve">[103] Y. Kamide et al.,</w:t>
      </w:r>
      <w:r>
        <w:t xml:space="preserve"> </w:t>
      </w:r>
      <w:r>
        <w:t xml:space="preserve">“Two-step development of geomagnetic storms,”</w:t>
      </w:r>
      <w:r>
        <w:t xml:space="preserve"> </w:t>
      </w:r>
      <w:r>
        <w:t xml:space="preserve">Journal of Geophysical Research: Space Physics, vol. 103, no. A4, pp. 6917–6921, 1998.</w:t>
      </w:r>
    </w:p>
    <w:p>
      <w:pPr>
        <w:pStyle w:val="BodyText"/>
      </w:pPr>
      <w:r>
        <w:t xml:space="preserve">[104]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w:t>
      </w:r>
    </w:p>
    <w:p>
      <w:pPr>
        <w:pStyle w:val="BodyText"/>
      </w:pPr>
      <w:r>
        <w:t xml:space="preserve">[105]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w:t>
      </w:r>
    </w:p>
    <w:p>
      <w:pPr>
        <w:pStyle w:val="BodyText"/>
      </w:pPr>
      <w:r>
        <w:t xml:space="preserve">[106] M. Kuhn, 4 Data Splitting | The caret Package — topepo.github.io. https://topepo.github.io/caret/data-splitting.html, 2024. [Online] . Available: https://topepo.github.io/caret/data-splitting.html</w:t>
      </w:r>
    </w:p>
    <w:p>
      <w:pPr>
        <w:pStyle w:val="BodyText"/>
      </w:pPr>
      <w:r>
        <w:t xml:space="preserve">[107] R. J. Hyndman, Forecasting: principles and practice. Melbourne, Australia: OTexts, 2018.</w:t>
      </w:r>
    </w:p>
    <w:p>
      <w:pPr>
        <w:pStyle w:val="BodyText"/>
      </w:pPr>
      <w:r>
        <w:t xml:space="preserve">[108]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[109]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[110]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[111]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[112] R. ks.test developers, ks.test function - RDocumentation — rdocumentation.org. https://www.rdocumentation.org/packages/stats/versions/3.6.2/topics/ks.test, 2024. [Online] . Available: https://www.rdocumentation.org/packages/stats/versions/3.6.2/topics/ks.test</w:t>
      </w:r>
    </w:p>
    <w:p>
      <w:pPr>
        <w:pStyle w:val="BodyText"/>
      </w:pPr>
      <w:r>
        <w:t xml:space="preserve">[113] R. shapiro.test developers, shapiro.test function - RDocumentation — rdocumentation.org. https://www.rdocumentation.org/packages/stats/versions/3.6.2/topics/shapiro.test, 2024. [Online] . Available: https://www.rdocumentation.org/packages/stats/versions/3.6.2/topics/shapiro.test</w:t>
      </w:r>
    </w:p>
    <w:p>
      <w:pPr>
        <w:pStyle w:val="BodyText"/>
      </w:pPr>
      <w:r>
        <w:t xml:space="preserve">[114]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[115]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[116]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[117]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[118]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[119] R. system.time developers, system.time function - RDocumentation — rdocumentation.org. https://www.rdocumentation.org/packages/base/versions/3.6.2/topics/system.time, 2024. [Online] . Available: https://www.rdocumentation.org/packages/base/versions/3.6.2/topics/system.time</w:t>
      </w:r>
    </w:p>
    <w:p>
      <w:pPr>
        <w:pStyle w:val="BodyText"/>
      </w:pPr>
      <w:r>
        <w:t xml:space="preserve">[120]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df" /><Relationship Type="http://schemas.openxmlformats.org/officeDocument/2006/relationships/image" Id="rId43" Target="media/rId43.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2024-10-27T11:34:11Z</dcterms:created>
  <dcterms:modified xsi:type="dcterms:W3CDTF">2024-10-27T11:34:11Z</dcterms:modified>
</cp:coreProperties>
</file>

<file path=docProps/custom.xml><?xml version="1.0" encoding="utf-8"?>
<Properties xmlns="http://schemas.openxmlformats.org/officeDocument/2006/custom-properties" xmlns:vt="http://schemas.openxmlformats.org/officeDocument/2006/docPropsVTypes"/>
</file>