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(Filjar, 2022). Maintaining the GNSS PNT quality has appeared fundamental for the sustainable development of modern economy and society (Filjar, 2022). Overcoming the shortcomings and vulnerabilities of GNSS PNT is a scientific challenge, and the need of a wide variety of scientists, developers, operators, regulators, and users of GNSS-based systems and services (Filjar et al., 2024, Filjar, 2022). The Earth’s ionosphere, a part of the Earth’s atmosphere stretching from 50 km to 2000 km above the Earth’s surface and comprised of rare but mostly charged atoms and molecules, is the major natural cause of GNSS PNT degradation (Davies, 1990, Filić &amp; Filjar, 2018). This phenomenon especially affects most currently used GNSS receivers, which work as single-frequency receivers exposed to GNSS ionospheric effects (Spilker Jr et al., 1996, Filjar, 2022). Driven by powerful and random flows of energy and particles from the Sun (space weather conditions), the ionospheric conditions define the properties of GNSS signal propagation through the Earth’s atmosphere and the resulting ionospheric delay (Davies, 1990, Oxley, 2017, Filić &amp; Filjar, 2018). The GNSS ionospheric delay causes errors in GNSS PNT algorithm deployment, designed to produce position, velocity, and time estimates for a GNSS receiver (Spilker Jr et al., 1996, Filić &amp; Filjar, 2018). The ionosphere affects GNSS satellite signals for position estimation by introducing signal propagation delay (Spilker Jr et al., 1996, Filić &amp; Filjar, 2018). The GNSS ionospheric delay is a stochastic variable, whose value is determined by complex physical processes of space weather (Filić &amp; Filjar, 2018, Filjar, 2022). How space weather affects GNSS PNT performance was explained using the Space weather – GNSS PNT performance coupling model (Filić &amp; Filjar, 2018), as depicted in Table </w:t>
      </w:r>
      <w:hyperlink w:anchor="Xcd98f75463a4f9443cea1890b285c3eb94af900">
        <w:r>
          <w:rPr>
            <w:rStyle w:val="Hyperlink"/>
          </w:rPr>
          <w:t xml:space="preserve">1</w:t>
        </w:r>
      </w:hyperlink>
    </w:p>
    <w:bookmarkStart w:id="20" w:name="Xcd98f75463a4f9443cea1890b285c3eb94af900"/>
    <w:p>
      <w:pPr>
        <w:pStyle w:val="TableCaption"/>
      </w:pPr>
      <w:r>
        <w:t xml:space="preserve">The Space weather – GNSS PNT performance coupling model, after (Filić &amp; Filjar, 2018).</w:t>
      </w:r>
    </w:p>
    <w:tbl>
      <w:tblPr>
        <w:tblStyle w:val="Table"/>
        <w:tblW w:type="auto" w:w="0"/>
        <w:tblLook w:firstRow="0" w:lastRow="0" w:firstColumn="0" w:lastColumn="0" w:noHBand="0" w:noVBand="0" w:val="0000"/>
        <w:tblCaption w:val="The Space weather – GNSS PNT performance coupling model, after (Filić &amp; Filjar, 2018)."/>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unit’s (GNSS receiver’s) aerial (Filić &amp; Filjar, 2018, Filić &amp; Filjar, 2018).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(Filić &amp; Filjar, 2018, Davies, 1990),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(Filjar, 2022).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(Spilker Jr et al., 1996, Filić &amp; Filjar, 2018).</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 GNSS PNT performance coupling model (Filić &amp; Filjar, 2018).</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(Spilker Jr et al., 1996, Filić &amp; Filjar, 2018). The standard ionospheric correction models are global, and insufficiently flexible to update to mitigate GNSS ionospheric delay to satisfy rising demands on GNSS PNT performance (Filjar et al., 2024, Filić &amp; Filjar, 2018). The development of regional and local models attempts to solve the problem of GNSS PNT sustainable performance in various ionospheric conditions (Sikirica et al., 2021). In recent developments, our team has proposed the Ambient-Aware Application-Aligned (AA)2 PNT to take into account the actual ionospheric and geomagnetic conditions near a mobile unit (a GNSS receiver) (Filjar, 2022, Filić &amp; Filjar, 2018, Filjar et al., 2024). Direct measurements of the immediate geomagnetic and ionospheric condition variables may be supplied to a machine learning-based adapted GNSS ionospheric correction model, thus solving the single-frequency GNSS problem (Filjar, 2022). Previous research has identified predictors and target variables (descriptors of geomagnetic, ionospheric, and GNSS PNT conditions) (Filić &amp; Filjar, 2018, Natras et al., 2022, Natras et al., 2023).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(Filjar, 2022, Filjar et al., 2024).</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 (Filjar et al., 2020) 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(Kuhn, 2013, Kuhn, 2024a, RCoreTeam, 2024).</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 (Boser et al., 1992),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(Cortes &amp; Vapnik, 1995). Support Vector Clustering (Ben-Hur et al., 2001) (SVC) applies support vector statistics to unlabeled data in unsupervised learning to find new natural groupings. Meyer, Leisch, and Hornik compared SVM with other classifiers (Meyer et al., 2003),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 (scikit-learn developers, 2023). Intuitively, a good separation is achieved by the hyperplane with the greatest distance to the nearest point in the training data belonging to any class (Hastie, Rosset, et al., 2009).</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 (Boser et al., 1992, Aizerman et al., 1964). A multidimensional feature space increases the generalization error of Support Vector Machines, so additional samples are needed to enhance performance (C. Jin &amp; Wang, 2012).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(Press et al., 2007).</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(Joachims, 1998). Some methods for shallow semantic parsing are based on SVMs (Pradhan et al., 2004). Image classification and segmentation can also be performed using SVM models, including a modified version of SVM that uses privileged access as proposed by Vapnik (Laurent et al., 2014, Barghout, 2015).</w:t>
      </w:r>
    </w:p>
    <w:p>
      <w:pPr>
        <w:pStyle w:val="BodyText"/>
      </w:pPr>
      <w:r>
        <w:t xml:space="preserve">Classification of satellite data such as Synthetic Aperture Radar (SAR) data is possible using a supervised SVM (Maity, 2016). Handwritten characters can be recognized using SVM (Decoste &amp; Schölkopf, 2002, Maitra et al., 2015).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(Gaonkar &amp; Davatzikos, 2013, Cuingnet et al., 2011). SVM weights were also used to interpret SVM models (Statnikov et al., 2006).</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 (C. W. Hsu et al., 2003).</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 (Studer et al., 2011). Decision Trees are among the most popular machine learning algorithms due to their comprehensibility and simplicity (Wu et al., 2008). A Decision Tree describes the input data and the resulting classification tree can be the input for decision-making in data mining (Rokach &amp; Maimon, 2014).</w:t>
      </w:r>
    </w:p>
    <w:p>
      <w:pPr>
        <w:pStyle w:val="BodyText"/>
      </w:pPr>
      <w:r>
        <w:t xml:space="preserve">A tree is built by dividing the original set, which forms the root node, into subsets that form descendants, or successors. The segmentation is made using a set of rules based on classification features (Shalev-Shwartz &amp; Ben-David, 2014).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(Quinlan, 1986) is an example of a greedy algorithm and is by far the most common strategy for learning Decision Trees from data (Rokach &amp; Maimon, 2005).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(McCallum, 2011).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(Russell &amp; Norvig, 2016),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(Hand &amp; Yu, 2001). These names refer to Bayes’ theorem in the classifier’s decision rule, but a Naive Bayesian classifier is not necessarily a Bayesian method (Russell &amp; Norvig, 2016, Hand &amp; Yu, 2001).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(H. Zhang, 2004). However, a comprehensive comparison with other classification algorithms in 2006 showed that Bayesian classification performed worse than other approaches, such as boosted trees or random forests (Caruana &amp; Niculescu-Mizil, 2006). The advantage of Naive Bayes is that it requires only a small amount of training data to estimate the parameters needed for classification (StackExchange, 2024).</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(Murty &amp; Devi, 2011).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p>
      <w:pPr>
        <w:pStyle w:val="FirstParagraph"/>
      </w:pPr>
      <w:r>
        <w:t xml:space="preserve">To estimate feature distribution parameters, we must assume a parametric distribution, or generate non-parametric models for the features from the training data set (John &amp; Langley, 2013). Assumptions about the distribution of features are called an event model or Bayesian classifier, which can introduce confusion by creating both a continuous and discrete model (Mccallum &amp; Nigam, 2001, Metsis et al., 2006).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(Hand &amp; Yu, 2001).</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(John &amp; Langley, 2013), can significantly increase the accuracy of the classifier (Piryonesi &amp; El-Diraby, 2020, Hastie, Rosset, et al., 2009).</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(MIT, 2017, Brahme, 2014).</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(Olden &amp; Jackson, 2002, Özesmi &amp; Özesmi, 1999). A network with at least two hidden layers (Bishop, 2006) 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(Vapnik, 2013). Gradient-based methods such as backpropagation are usually used to estimate network parameters (Vapnik, 2013). During the training phase, ANNs learn from labeled training data by iteratively updating their parameters to minimize a defined loss function (Goodfellow, 2016).</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 (Probst et al., 2019) 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(Zoph, 2016). AutoML and AutoKeras (H. Jin et al., 2019)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 (Claesen &amp; De Moor, 2015). TensorFlow and Keras are used to build a custom network in Python, and the user can define layers, models, or metrics. The data, number of hidden layer units, learning rate, and number of iterations are required parameters for model training based on a book by Liu (Liu, 2020).</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 (Wold et al., 2001, Abdi, 2010),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(Sæbø et al., 2008).</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(Asada, 2020), shown in Equation 5.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 (Lindgren et al., 1993, De Jong &amp; Ter Braak, 1994, Dayal &amp; MacGregor, 1997, De Jong, 1993, Rännar et al., 1994, Abdi, 2010). Many versions of PLS exist for estimating the factor and loading matrices, such as the PLS1 algorithm (Takane &amp; Loisel, 2016, Höskuldsson, 1988).</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(Hastie et al., 1995), such as Multivariate Adaptive Regression Splines (MARS) and linear discriminant analysis (LDA).</w:t>
      </w:r>
    </w:p>
    <w:p>
      <w:pPr>
        <w:pStyle w:val="BodyText"/>
      </w:pPr>
      <w:r>
        <w:t xml:space="preserve">Many predictors can be used at once in FDA (Hastie, Tibshirani, et al., 2009), variable interactions are automatically noted (Hastie et al., 1994), it is complex but execution time and computational load are adequate (Reynès et al., 2006). The algorithm is not significantly affected by outliers (Phillips et al., 2017).</w:t>
      </w:r>
    </w:p>
    <w:p>
      <w:pPr>
        <w:pStyle w:val="BodyText"/>
      </w:pPr>
      <w:r>
        <w:t xml:space="preserve">Modifying different settings has a high impact on FDA (Hallgren et al., 2019), and the estimation might be unsuccessful if the predictor distributions are highly correlated. FDA is prone to overfitting (Thuiller et al., 2016), and challenging to comprehend or explain (Quillfeldt et al., 2017). The assumption of normality for the continuous independent variables is necessary (Z. Zhang et al., 2019) 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 (Cohen et al., 2013). The results of LDA may be utilized directly or to reduce dimensionality before classification, which is more often used (Hansen, 2005). LDA finds a linear combination of features or measurements differentiating two or more sample classes (Fisher, 1936, McLachlan, 2005). Discriminant analysis has continuous independent variables and a categorical dependent variable representing the groups (Wetcher-Hendricks, 2011).</w:t>
      </w:r>
    </w:p>
    <w:p>
      <w:pPr>
        <w:pStyle w:val="BodyText"/>
      </w:pPr>
      <w:r>
        <w:t xml:space="preserve">LDA is closely related to PCA and factor analysis since they identify linear functions of multiple variables that fit the input with the smallest error (Martinez &amp; Kak, 2001). Discriminant correspondence analysis (Abdi, 2007, Perriere &amp; Thioulouse, 2003) is equivalent to LDA for categorical independent variables. Points in discriminant function analysis are rated based on quantitative predictors and a group measure (Cokluk &amp; Buyukozturk, 2008) to represent classification (Venables &amp; Ripley, 2013).</w:t>
      </w:r>
    </w:p>
    <w:p>
      <w:pPr>
        <w:pStyle w:val="BodyText"/>
      </w:pPr>
      <w:r>
        <w:t xml:space="preserve">The assumptions of MANOVA are also true for discriminant analysis. The analysis is highly affected by outliers so there must be fewer predictor variables than samples in the smallest class (Cokluk &amp; Buyukozturk, 2008). In every level of the grouping variable, independent variables must be normal to achieve multivariate normality (Cokluk &amp; Buyukozturk, 2008, Hansen, 2005). Box’s M statistic (Hansen, 2005)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(Cokluk &amp; Buyukozturk, 2008). The scores of one predictor variable should not depend on other predictor variables for any sample, and the samples should be chosen at random (Cokluk &amp; Buyukozturk, 2008, Hansen, 2005). Discriminant analysis can handle small deviations from these requirements (Lachenbruch &amp; Goldstein, 1979) and may be used even if multivariate normality is not achieved, such as for dichotomous variables (Klecka, 1980).</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(Härdle, 2003). A discriminant score describes how well a discriminant differentiates classes. (Garson, 2008).</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(Cokluk &amp; Buyukozturk, 2008). Eigenvalues do not have an upper limit (Cokluk &amp; Buyukozturk, 2008, Hansen, 2005), so the results should not be taken at face value.</w:t>
      </w:r>
    </w:p>
    <w:p>
      <w:pPr>
        <w:pStyle w:val="BodyText"/>
      </w:pPr>
      <w:r>
        <w:t xml:space="preserve">Even though it is not universally accepted, some suggest eigenvalues be utilized as effect size measures (Hansen, 2005). The percent of correctly classified data, such as the kappa value, can also be used as the effect size while accounting for random matches in classification (Hansen, 2005). Kappa is not biased for any particular class, whether performance is high or low, and instead normalizes across all classes (Israel, 2006).</w:t>
      </w:r>
    </w:p>
    <w:p>
      <w:pPr>
        <w:pStyle w:val="BodyText"/>
      </w:pPr>
      <w:r>
        <w:t xml:space="preserve">Fisher’s linear discriminant and LDA are sometimes considered synonyms. However, Fisher (Fisher, 1936) describes a slightly different discriminant, which does not make some of the assumptions of LDA such as a normal distribution or the equality of covariances for groups. The application of the Fisher discriminant is expanded to find a subspace capturing all class variability (Garson, 2008) for multiple groups, as suggested by C. R. Rao (Rao, 1948).</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(Ripley, 2007).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 (Jolliffe &amp; Cadima, 2016).</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 (Barnett &amp; Preisendorfer, 1987, D. Hsu et al., 2012, Markopoulos et al., 2017, Chachlakis et al., 2019). CCA does the same for the cross-covariance between two datasets. Robust and L1-norm-based variants of standard PCA have also been proposed (Chachlakis et al., 2019, Markopoulos et al., 2014, Zhan &amp; Vaswani, 2015, Ke &amp; Kanade, 2005).</w:t>
      </w:r>
    </w:p>
    <w:p>
      <w:pPr>
        <w:pStyle w:val="BodyText"/>
      </w:pPr>
      <w:r>
        <w:t xml:space="preserve">Karl Pearson (Pearson, 1901) conceived of PCA in 1901 as a counterpart of the principal axis theorem in mechanics (F. M. Stewart, 2019). Harold Hotelling discovered the Hotelling transform in multivariate quality control in the 1930s without knowledge of the previous work (Hotelling, 1933, Hotelling, 1992). Synonyms for PCA include the discrete proper orthogonal decomposition (POD) (Berkooz et al., 1993, Karhunen, 1946, Loève, 1977, Sirovich, 1987) in mechanical engineering and the Kosambi–Karhunen–Loève or Karhunen–Loève theorem (KLT) (Sapatnekar, 2011, Ghoman et al., 2012, Wang, 2016, Giambartolomei, 2016, Mallat, 1999, Tang, 1998) in signal processing. Singular value decomposition (SVD) of X, established in the final quarter of the 19th century (G. W. Stewart, 1993),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(Gloub &amp; Van Loan, 1996, Hayden &amp; Twede, 2002). Factor analysis differs in several key features (Jolliffe, 2002), but has many aspects in common with PCA. Empirical orthogonal functions (EOF) (Lorenz, 1956) in meteorological science were developed by Lorenz in 1956 (Lorenz, 1956). The Eckart–Young theorem (Eckart &amp; Young, 1936) and quasiharmonic modes (Dove, 1993) 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(Jolliffe, 2002, Bengio et al., 2013). The significance of the principal components can be checked with parametric bootstrap for a smaller dataset to help decide how many principal components to keep (Forkman et al., 2019).</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6 (Spilker Jr et al., 1996) 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6</m:t>
              </m:r>
            </m:e>
          </m:d>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7 (Spilker Jr et al., 1996).</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7</m:t>
              </m:r>
            </m:e>
          </m:d>
        </m:oMath>
      </m:oMathPara>
    </w:p>
    <w:p>
      <w:pPr>
        <w:pStyle w:val="FirstParagraph"/>
      </w:pPr>
      <w:r>
        <w:t xml:space="preserve">Appleton’s formula in Equation 8 reasonably approximates the relationship between the refraction index and the free electron density distribution (Davies, 1990, Spilker Jr et al., 1996).</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r>
            <m:t> </m:t>
          </m:r>
          <m:d>
            <m:dPr>
              <m:begChr m:val="("/>
              <m:endChr m:val=")"/>
              <m:sepChr m:val=""/>
              <m:grow/>
            </m:dPr>
            <m:e>
              <m:r>
                <m:t>8</m:t>
              </m:r>
            </m:e>
          </m:d>
        </m:oMath>
      </m:oMathPara>
    </w:p>
    <w:p>
      <w:pPr>
        <w:pStyle w:val="FirstParagraph"/>
      </w:pPr>
      <w:r>
        <w:t xml:space="preserve">The combination of Equation 6 and Equation 8 yields Equation 9 that directly describes the relationship between the free electron density profile and the GPS ionospheric delay (Spilker Jr et al., 1996).</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9</m:t>
              </m:r>
            </m:e>
          </m:d>
        </m:oMath>
      </m:oMathPara>
    </w:p>
    <w:p>
      <w:pPr>
        <w:pStyle w:val="FirstParagraph"/>
      </w:pPr>
      <w:r>
        <w:t xml:space="preserve">The</w:t>
      </w:r>
      <w:r>
        <w:t xml:space="preserve"> </w:t>
      </w:r>
      <m:oMath>
        <m:r>
          <m:t>T</m:t>
        </m:r>
        <m:r>
          <m:t>E</m:t>
        </m:r>
        <m:r>
          <m:t>C</m:t>
        </m:r>
      </m:oMath>
      <w:r>
        <w:t xml:space="preserve"> </w:t>
      </w:r>
      <w:r>
        <w:t xml:space="preserve">(Spilker Jr et al., 1996) in Equation 10 is calculated using the integral on the right side of Equation 9.</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10</m:t>
              </m:r>
            </m:e>
          </m:d>
        </m:oMath>
      </m:oMathPara>
    </w:p>
    <w:p>
      <w:pPr>
        <w:pStyle w:val="FirstParagraph"/>
      </w:pPr>
      <w:r>
        <w:t xml:space="preserve">Using equation Equation 10, Equation 9 can be written as shown in Equation 11.</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11</m:t>
              </m:r>
            </m:e>
          </m:d>
        </m:oMath>
      </m:oMathPara>
    </w:p>
    <w:p>
      <w:pPr>
        <w:pStyle w:val="FirstParagraph"/>
      </w:pPr>
      <w:r>
        <w:t xml:space="preserve">Following the same analogy, the equivalent GPS ionospheric delay is calculated in Equation 12.</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12</m:t>
              </m:r>
            </m:e>
          </m:d>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12, the relation between the</w:t>
      </w:r>
      <w:r>
        <w:t xml:space="preserve"> </w:t>
      </w:r>
      <m:oMath>
        <m:r>
          <m:t>T</m:t>
        </m:r>
        <m:r>
          <m:t>E</m:t>
        </m:r>
        <m:r>
          <m:t>C</m:t>
        </m:r>
      </m:oMath>
      <w:r>
        <w:t xml:space="preserve"> </w:t>
      </w:r>
      <w:r>
        <w:t xml:space="preserve">and GPS pseudo-range measurements can be established in Equation 13 (Spilker Jr et al., 1996):</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r>
            <m:t> </m:t>
          </m:r>
          <m:d>
            <m:dPr>
              <m:begChr m:val="("/>
              <m:endChr m:val=")"/>
              <m:sepChr m:val=""/>
              <m:grow/>
            </m:dPr>
            <m:e>
              <m:r>
                <m:t>13</m:t>
              </m:r>
            </m:e>
          </m:d>
        </m:oMath>
      </m:oMathPara>
    </w:p>
    <w:p>
      <w:pPr>
        <w:pStyle w:val="FirstParagraph"/>
      </w:pPr>
      <w:r>
        <w:t xml:space="preserve">Equation 13 can be rewritten as in Equation 14,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14.</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r>
            <m:t> </m:t>
          </m:r>
          <m:d>
            <m:dPr>
              <m:begChr m:val="("/>
              <m:endChr m:val=")"/>
              <m:sepChr m:val=""/>
              <m:grow/>
            </m:dPr>
            <m:e>
              <m:r>
                <m:t>14</m:t>
              </m:r>
            </m:e>
          </m:d>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15 (Enge, 1994, Spilker Jr et al., 1996). A cosine-like daily dynamic of GPS ionospheric delay values is assumed in the Klobuchar model, with the daily maximum appearing around 14:00 in local time (Klobuchar, 1987).</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r>
            <m:t> </m:t>
          </m:r>
          <m:d>
            <m:dPr>
              <m:begChr m:val="("/>
              <m:endChr m:val=")"/>
              <m:sepChr m:val=""/>
              <m:grow/>
            </m:dPr>
            <m:e>
              <m:r>
                <m:t>15</m:t>
              </m:r>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 (Fan et al., 2008), so this step was also applied to the input data before training the models in this study. There are many ways to standardize data, such as minimum-maximum, normalization by decimal scaling, and Z-score (Mohamad &amp; Usman, 2013). Subtracting the mean and dividing by the variance for each feature are commonly used for Support Vector Machines (SVMs) (Fennell et al., 2019)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(Kuhn, 2024b, Hyndman, 2018, createDataPartition developers, 2024).</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(Kuhn, 2008, Altman &amp; Bland, 1994a, Altman &amp; Bland, 1994b, Velez et al., 2007, confusionMatrix developers, 2024).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(binom.test developers, 2024, Clopper &amp; Pearson, 1934, Conover, 1999, Hollander, 2013) 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 (Howell, 2009, GraphPad Software, 2024)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16.</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16</m:t>
              </m:r>
            </m:e>
          </m:d>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17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17</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18 denotes all such events. Equation 19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18</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19</m:t>
              </m:r>
            </m:e>
          </m:d>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(McHugh, 2012).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(Pontius Jr &amp; Millones, 2011). Galton was the first to use a statistic similar to Cohen’s kappa in 1892 (Galton, 1892, 1892, Smeeton, 1985). Jacob Cohen formally described the kappa coefficient in 1960 in the journal "Educational and Psychological Measurement" (Cohen, 1960).</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20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20</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(Sim &amp; Wright, 2005) there is no match between the raters, which can reflect a real tendency of the raters to give differing ratings.</w:t>
      </w:r>
    </w:p>
    <w:p>
      <w:pPr>
        <w:pStyle w:val="BodyText"/>
      </w:pPr>
      <w:r>
        <w:t xml:space="preserve">Equation 21 is derived from the construction in Equation 22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21</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22</m:t>
              </m:r>
            </m:e>
          </m:d>
        </m:oMath>
      </m:oMathPara>
    </w:p>
    <w:p>
      <w:pPr>
        <w:pStyle w:val="FirstParagraph"/>
      </w:pPr>
      <w:r>
        <w:t xml:space="preserve">If ratings are independent Equation 23,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23</m:t>
              </m:r>
            </m:e>
          </m:d>
        </m:oMath>
      </m:oMathPara>
    </w:p>
    <w:p>
      <w:pPr>
        <w:pStyle w:val="FirstParagraph"/>
      </w:pPr>
      <w:r>
        <w:t xml:space="preserve">Equation 24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24</m:t>
              </m:r>
            </m:e>
          </m:d>
        </m:oMath>
      </m:oMathPara>
    </w:p>
    <w:p>
      <w:pPr>
        <w:pStyle w:val="FirstParagraph"/>
      </w:pPr>
      <w:r>
        <w:t xml:space="preserve">(and similarly for rater</w:t>
      </w:r>
      <w:r>
        <w:t xml:space="preserve"> </w:t>
      </w:r>
      <m:oMath>
        <m:r>
          <m:t>2</m:t>
        </m:r>
      </m:oMath>
      <w:r>
        <w:t xml:space="preserve">).</w:t>
      </w:r>
    </w:p>
    <w:p>
      <w:pPr>
        <w:pStyle w:val="BodyText"/>
      </w:pPr>
      <w:r>
        <w:t xml:space="preserve">Equation 25 contains the Cohen’s Kappa formula (Chicco et al., 2021) 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25</m:t>
              </m:r>
            </m:e>
          </m:d>
        </m:oMath>
      </m:oMathPara>
    </w:p>
    <w:p>
      <w:pPr>
        <w:pStyle w:val="FirstParagraph"/>
      </w:pPr>
      <w:r>
        <w:t xml:space="preserve">In this scenario, Cohen’s Kappa equals the Heidke skill score introduced by Myrick Haskell Doolittle in 1888 (Heidke, 1926, D.C., 1887, 1887).</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 (system.time developers, 2024) 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(H. Zhang, 2004).</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bookmarkEnd w:id="87"/>
    <w:bookmarkStart w:id="88" w:name="bibliography"/>
    <w:p>
      <w:pPr>
        <w:pStyle w:val="Heading1"/>
      </w:pPr>
      <w:r>
        <w:t xml:space="preserve">Bibliography</w:t>
      </w:r>
    </w:p>
    <w:p>
      <w:pPr>
        <w:pStyle w:val="FirstParagraph"/>
      </w:pPr>
      <w:r>
        <w:t xml:space="preserve">[1] R. Filjar,</w:t>
      </w:r>
      <w:r>
        <w:t xml:space="preserve"> </w:t>
      </w:r>
      <w:r>
        <w:t xml:space="preserve">“An application-centred resilient GNSS position estimation algorithm based on positioning environment conditions awareness,”</w:t>
      </w:r>
      <w:r>
        <w:t xml:space="preserve"> </w:t>
      </w:r>
      <w:r>
        <w:t xml:space="preserve">in Proceedings of the 2022 International Technical Meeting of The Institute of Navigation, 2022, pp. 1123–1136.</w:t>
      </w:r>
    </w:p>
    <w:p>
      <w:pPr>
        <w:pStyle w:val="BodyText"/>
      </w:pPr>
      <w:r>
        <w:t xml:space="preserve">[2]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w:t>
      </w:r>
    </w:p>
    <w:p>
      <w:pPr>
        <w:pStyle w:val="BodyText"/>
      </w:pPr>
      <w:r>
        <w:t xml:space="preserve">[3] K. Davies, Ionospheric Radio. Futures Place, Stevenage: Institution of Engineering &amp; Technology, 1990. [Online] . Available: https://books.google.hr/books?id=qdWUKSj5PCcC</w:t>
      </w:r>
    </w:p>
    <w:p>
      <w:pPr>
        <w:pStyle w:val="BodyText"/>
      </w:pPr>
      <w:r>
        <w:t xml:space="preserve">[4] M. Filić and R. Filjar,</w:t>
      </w:r>
      <w:r>
        <w:t xml:space="preserve"> </w:t>
      </w:r>
      <w:r>
        <w:t xml:space="preserve">“modelling the relation between GNSS positioning performance degradation, and space weather and ionospheric conditions using RReliefF features selection,”</w:t>
      </w:r>
      <w:r>
        <w:t xml:space="preserve"> </w:t>
      </w:r>
      <w:r>
        <w:t xml:space="preserve">in ION GNSS+ 2018 Meeting, 2018, pp. 1999–2006.</w:t>
      </w:r>
    </w:p>
    <w:p>
      <w:pPr>
        <w:pStyle w:val="BodyText"/>
      </w:pPr>
      <w:r>
        <w:t xml:space="preserve">[5] J. J. Spilker Jr, P. Axelrad, B. W. Parkinson, and P. Enge, Global positioning system: theory and applications, volume I. Reston, Virginia: American Institute of Aeronautics, 1996.</w:t>
      </w:r>
    </w:p>
    <w:p>
      <w:pPr>
        <w:pStyle w:val="BodyText"/>
      </w:pPr>
      <w:r>
        <w:t xml:space="preserve">[6] A. Oxley, Uncertainties in GPS Positioning: A mathematical discourse. Cambridge, Massachusetts: Academic Press, 2017.</w:t>
      </w:r>
    </w:p>
    <w:p>
      <w:pPr>
        <w:pStyle w:val="BodyText"/>
      </w:pPr>
      <w:r>
        <w:t xml:space="preserve">[7] N. Sikirica, F. Dimc, O. Jukic, T. B. Iliev, D. Spoljar, and R. Filjar,</w:t>
      </w:r>
      <w:r>
        <w:t xml:space="preserve"> </w:t>
      </w:r>
      <w:r>
        <w:t xml:space="preserve">“A Risk Assessment of Geomagnetic Conditions Impact on GPS Positioning Accuracy Degradation in Tropical Regions Using Dst Index,”</w:t>
      </w:r>
      <w:r>
        <w:t xml:space="preserve"> </w:t>
      </w:r>
      <w:r>
        <w:t xml:space="preserve">in Proceedings of the 2021 International Technical Meeting of The Institute of Navigation, 2021, pp. 606–615.</w:t>
      </w:r>
    </w:p>
    <w:p>
      <w:pPr>
        <w:pStyle w:val="BodyText"/>
      </w:pPr>
      <w:r>
        <w:t xml:space="preserve">[8]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w:t>
      </w:r>
    </w:p>
    <w:p>
      <w:pPr>
        <w:pStyle w:val="BodyText"/>
      </w:pPr>
      <w:r>
        <w:t xml:space="preserve">[9] R. Natras et al.,</w:t>
      </w:r>
      <w:r>
        <w:t xml:space="preserve"> </w:t>
      </w:r>
      <w:r>
        <w:t xml:space="preserve">“Regional ionosphere delay models based on CORS data and machine learning,”</w:t>
      </w:r>
      <w:r>
        <w:t xml:space="preserve"> </w:t>
      </w:r>
      <w:r>
        <w:t xml:space="preserve">NAVIGATION: Journal of the Institute of Navigation, vol. 70, no. 3, 2023.</w:t>
      </w:r>
    </w:p>
    <w:p>
      <w:pPr>
        <w:pStyle w:val="BodyText"/>
      </w:pPr>
      <w:r>
        <w:t xml:space="preserve">[10] R. Filjar, I. Sklebar, and M. Horvat,</w:t>
      </w:r>
      <w:r>
        <w:t xml:space="preserve"> </w:t>
      </w:r>
      <w:r>
        <w:t xml:space="preserve">“A COMPARISON OF MACHINE LEARNING-BASED INDIVIDUAL MOBILITY CLASSIFICATION MODELS DEVELOPED ON SENSOR READINGS FROM LOOSELY ATTACHED SMARTPHONES.,”</w:t>
      </w:r>
      <w:r>
        <w:t xml:space="preserve"> </w:t>
      </w:r>
      <w:r>
        <w:t xml:space="preserve">Komunikácie, vol. 22, no. 4, 2020.</w:t>
      </w:r>
    </w:p>
    <w:p>
      <w:pPr>
        <w:pStyle w:val="BodyText"/>
      </w:pPr>
      <w:r>
        <w:t xml:space="preserve">[11] M. Kuhn, Applied predictive modeling. Springer, 2013.</w:t>
      </w:r>
    </w:p>
    <w:p>
      <w:pPr>
        <w:pStyle w:val="BodyText"/>
      </w:pPr>
      <w:r>
        <w:t xml:space="preserve">[12] M. Kuhn, The caret Package — topepo.github.io. https://topepo.github.io/caret/, 2024. [Online] . Available: https://topepo.github.io/caret/</w:t>
      </w:r>
    </w:p>
    <w:p>
      <w:pPr>
        <w:pStyle w:val="BodyText"/>
      </w:pPr>
      <w:r>
        <w:t xml:space="preserve">[13] RCoreTeam, R: The R Project for Statistical Computing — r-project.org. https://www.r-project.org/, 2024. [Online] . Available: https://www.r-project.org/</w:t>
      </w:r>
    </w:p>
    <w:p>
      <w:pPr>
        <w:pStyle w:val="BodyText"/>
      </w:pPr>
      <w:r>
        <w:t xml:space="preserve">[14] B. E. Boser, I. M. Guyon, and V. N. Vapnik,</w:t>
      </w:r>
      <w:r>
        <w:t xml:space="preserve"> </w:t>
      </w:r>
      <w:r>
        <w:t xml:space="preserve">“A training algorithm for optimal margin classifiers,”</w:t>
      </w:r>
      <w:r>
        <w:t xml:space="preserve"> </w:t>
      </w:r>
      <w:r>
        <w:t xml:space="preserve">Jul. 1992.</w:t>
      </w:r>
    </w:p>
    <w:p>
      <w:pPr>
        <w:pStyle w:val="BodyText"/>
      </w:pPr>
      <w:r>
        <w:t xml:space="preserve">[15] C. Cortes and V. Vapnik,</w:t>
      </w:r>
      <w:r>
        <w:t xml:space="preserve"> </w:t>
      </w:r>
      <w:r>
        <w:t xml:space="preserve">“Support-vector networks,”</w:t>
      </w:r>
      <w:r>
        <w:t xml:space="preserve"> </w:t>
      </w:r>
      <w:r>
        <w:t xml:space="preserve">Mach. Learn., vol. 20, no. 3, pp. 273–297, Sep. 1995.</w:t>
      </w:r>
    </w:p>
    <w:p>
      <w:pPr>
        <w:pStyle w:val="BodyText"/>
      </w:pPr>
      <w:r>
        <w:t xml:space="preserve">[16] A. Ben-Hur, D. Horn, H. Siegelmann, and V. Vapnik,</w:t>
      </w:r>
      <w:r>
        <w:t xml:space="preserve"> </w:t>
      </w:r>
      <w:r>
        <w:t xml:space="preserve">“Support Vector Clustering,”</w:t>
      </w:r>
      <w:r>
        <w:t xml:space="preserve"> </w:t>
      </w:r>
      <w:r>
        <w:t xml:space="preserve">Journal of Machine Learning Research, vol. 2, pp. 125–137, Nov. 2001, doi: 10.1162/15324430260185565.</w:t>
      </w:r>
    </w:p>
    <w:p>
      <w:pPr>
        <w:pStyle w:val="BodyText"/>
      </w:pPr>
      <w:r>
        <w:t xml:space="preserve">[17] D. Meyer, F. Leisch, and K. Hornik,</w:t>
      </w:r>
      <w:r>
        <w:t xml:space="preserve"> </w:t>
      </w:r>
      <w:r>
        <w:t xml:space="preserve">“The support vector machine under test,”</w:t>
      </w:r>
      <w:r>
        <w:t xml:space="preserve"> </w:t>
      </w:r>
      <w:r>
        <w:t xml:space="preserve">Neurocomputing, vol. 55, no. 1–2, pp. 169–186, Sep. 2003.</w:t>
      </w:r>
    </w:p>
    <w:p>
      <w:pPr>
        <w:pStyle w:val="BodyText"/>
      </w:pPr>
      <w:r>
        <w:t xml:space="preserve">[18] P. scikit-learn developers, 1.4. Support Vector Machines — scikit-learn.org. http://scikit-learn.org/stable/modules/svm.html, 2023. [Online] . Available: http://scikit-learn.org/stable/modules/svm.html</w:t>
      </w:r>
    </w:p>
    <w:p>
      <w:pPr>
        <w:pStyle w:val="BodyText"/>
      </w:pPr>
      <w:r>
        <w:t xml:space="preserve">[19] T. Hastie, S. Rosset, J. Zhu, and H. Zou,</w:t>
      </w:r>
      <w:r>
        <w:t xml:space="preserve"> </w:t>
      </w:r>
      <w:r>
        <w:t xml:space="preserve">“Multi-class AdaBoost,”</w:t>
      </w:r>
      <w:r>
        <w:t xml:space="preserve"> </w:t>
      </w:r>
      <w:r>
        <w:t xml:space="preserve">Stat. Interface, vol. 2, no. 3, pp. 349–360, 2009.</w:t>
      </w:r>
    </w:p>
    <w:p>
      <w:pPr>
        <w:pStyle w:val="BodyText"/>
      </w:pPr>
      <w:r>
        <w:t xml:space="preserve">[20] M. A. Aizerman, E. A. Braverman, and L. Rozonoer,</w:t>
      </w:r>
      <w:r>
        <w:t xml:space="preserve"> </w:t>
      </w:r>
      <w:r>
        <w:t xml:space="preserve">“Theoretical foundations of the potential function method in pattern recognition learning,”</w:t>
      </w:r>
      <w:r>
        <w:t xml:space="preserve"> </w:t>
      </w:r>
      <w:r>
        <w:t xml:space="preserve">in Automation and Remote Control, 1964, no. 25, pp. 821–837.</w:t>
      </w:r>
    </w:p>
    <w:p>
      <w:pPr>
        <w:pStyle w:val="BodyText"/>
      </w:pPr>
      <w:r>
        <w:t xml:space="preserve">[21] C. Jin and L. Wang,</w:t>
      </w:r>
      <w:r>
        <w:t xml:space="preserve"> </w:t>
      </w:r>
      <w:r>
        <w:t xml:space="preserve">“Dimensionality dependent PAC-Bayes margin bound,”</w:t>
      </w:r>
      <w:r>
        <w:t xml:space="preserve"> </w:t>
      </w:r>
      <w:r>
        <w:t xml:space="preserve">Advances in Neural Information Processing Systems, vol. 2, pp. 1034–1042, Jan. 2012.</w:t>
      </w:r>
    </w:p>
    <w:p>
      <w:pPr>
        <w:pStyle w:val="BodyText"/>
      </w:pPr>
      <w:r>
        <w:t xml:space="preserve">[22] W. H. Press, S. A. Teukolsky, W. T. Vetterling, and B. P. Flannery, Numerical recipes 3rd edition, Third. Cambridge, England: Cambridge University Press, 2007.</w:t>
      </w:r>
    </w:p>
    <w:p>
      <w:pPr>
        <w:pStyle w:val="BodyText"/>
      </w:pPr>
      <w:r>
        <w:t xml:space="preserve">[23] T. Joachims,</w:t>
      </w:r>
      <w:r>
        <w:t xml:space="preserve"> </w:t>
      </w:r>
      <w:r>
        <w:t xml:space="preserve">“Text categorization with Support Vector Machines: Learning with many relevant features,”</w:t>
      </w:r>
      <w:r>
        <w:t xml:space="preserve"> </w:t>
      </w:r>
      <w:r>
        <w:t xml:space="preserve">in Machine Learning: ECML-98, Berlin, Heidelberg: Springer Berlin Heidelberg, 1998, pp. 137–142.</w:t>
      </w:r>
    </w:p>
    <w:p>
      <w:pPr>
        <w:pStyle w:val="BodyText"/>
      </w:pPr>
      <w:r>
        <w:t xml:space="preserve">[24] S. S. Pradhan, W. H. Ward, K. Hacioglu, J. H. Martin, and D. Jurafsky,</w:t>
      </w:r>
      <w:r>
        <w:t xml:space="preserve"> </w:t>
      </w:r>
      <w:r>
        <w:t xml:space="preserve">“Shallow Semantic Parsing using Support Vector Machines,”</w:t>
      </w:r>
      <w:r>
        <w:t xml:space="preserve"> </w:t>
      </w:r>
      <w:r>
        <w:t xml:space="preserve">in Proceedings of the Human Language Technology Conference of the North American Chapter of the Association for Computational Linguistics: HLT-NAACL 2004, 2004, pp. 233–240. [Online] . Available: https://aclanthology.org/N04-1030</w:t>
      </w:r>
    </w:p>
    <w:p>
      <w:pPr>
        <w:pStyle w:val="BodyText"/>
      </w:pPr>
      <w:r>
        <w:t xml:space="preserve">[25] A. Laurent, O. Strauss, B. Bouchon-Meunier, and R. R. Yager, Information Processing and Management of Uncertainty in Knowledge-Based Systems. Berlin/Heidelberg, Germany: Springer, 2014, p. 442.</w:t>
      </w:r>
    </w:p>
    <w:p>
      <w:pPr>
        <w:pStyle w:val="BodyText"/>
      </w:pPr>
      <w:r>
        <w:t xml:space="preserve">[26] L. Barghout,</w:t>
      </w:r>
      <w:r>
        <w:t xml:space="preserve"> </w:t>
      </w:r>
      <w:r>
        <w:t xml:space="preserve">“Spatial-taxon information granules as used in iterative fuzzy-decision-making for image segmentation,”</w:t>
      </w:r>
      <w:r>
        <w:t xml:space="preserve"> </w:t>
      </w:r>
      <w:r>
        <w:t xml:space="preserve">in Studies in Big Data, Cham: Springer International Publishing, 2015, pp. 285–318.</w:t>
      </w:r>
    </w:p>
    <w:p>
      <w:pPr>
        <w:pStyle w:val="BodyText"/>
      </w:pPr>
      <w:r>
        <w:t xml:space="preserve">[27] A. Maity,</w:t>
      </w:r>
      <w:r>
        <w:t xml:space="preserve"> </w:t>
      </w:r>
      <w:r>
        <w:t xml:space="preserve">“Supervised classification of RADARSAT-2 polarimetric data for different land features,”</w:t>
      </w:r>
      <w:r>
        <w:t xml:space="preserve"> </w:t>
      </w:r>
      <w:r>
        <w:t xml:space="preserve">arXiv preprint arXiv:1608.00501, Aug. 2016.</w:t>
      </w:r>
    </w:p>
    <w:p>
      <w:pPr>
        <w:pStyle w:val="BodyText"/>
      </w:pPr>
      <w:r>
        <w:t xml:space="preserve">[28] D. Decoste and B. Schölkopf,</w:t>
      </w:r>
      <w:r>
        <w:t xml:space="preserve"> </w:t>
      </w:r>
      <w:r>
        <w:t xml:space="preserve">“Training Invariant Support Vector Machines,”</w:t>
      </w:r>
      <w:r>
        <w:t xml:space="preserve"> </w:t>
      </w:r>
      <w:r>
        <w:t xml:space="preserve">Mach. Learn., vol. 46, no. 1/3, pp. 161–190, 2002.</w:t>
      </w:r>
    </w:p>
    <w:p>
      <w:pPr>
        <w:pStyle w:val="BodyText"/>
      </w:pPr>
      <w:r>
        <w:t xml:space="preserve">[29] D. S. Maitra, U. Bhattacharya, and S. K. Parui,</w:t>
      </w:r>
      <w:r>
        <w:t xml:space="preserve"> </w:t>
      </w:r>
      <w:r>
        <w:t xml:space="preserve">“CNN based common approach to handwritten character recognition of multiple scripts,”</w:t>
      </w:r>
      <w:r>
        <w:t xml:space="preserve"> </w:t>
      </w:r>
      <w:r>
        <w:t xml:space="preserve">Aug. 2015.</w:t>
      </w:r>
    </w:p>
    <w:p>
      <w:pPr>
        <w:pStyle w:val="BodyText"/>
      </w:pPr>
      <w:r>
        <w:t xml:space="preserve">[30] B. Gaonkar and C. Davatzikos,</w:t>
      </w:r>
      <w:r>
        <w:t xml:space="preserve"> </w:t>
      </w:r>
      <w:r>
        <w:t xml:space="preserve">“Analytic estimation of statistical significance maps for support vector machine based multi-variate image analysis and classification,”</w:t>
      </w:r>
      <w:r>
        <w:t xml:space="preserve"> </w:t>
      </w:r>
      <w:r>
        <w:t xml:space="preserve">Neuroimage, vol. 78, pp. 270–283, Sep. 2013.</w:t>
      </w:r>
    </w:p>
    <w:p>
      <w:pPr>
        <w:pStyle w:val="BodyText"/>
      </w:pPr>
      <w:r>
        <w:t xml:space="preserve">[31] R. Cuingnet et al.,</w:t>
      </w:r>
      <w:r>
        <w:t xml:space="preserve"> </w:t>
      </w:r>
      <w:r>
        <w:t xml:space="preserve">“Spatial regularization of SVM for the detection of diffusion alterations associated with stroke outcome,”</w:t>
      </w:r>
      <w:r>
        <w:t xml:space="preserve"> </w:t>
      </w:r>
      <w:r>
        <w:t xml:space="preserve">Med. Image Anal., vol. 15, no. 5, pp. 729–737, Oct. 2011.</w:t>
      </w:r>
    </w:p>
    <w:p>
      <w:pPr>
        <w:pStyle w:val="BodyText"/>
      </w:pPr>
      <w:r>
        <w:t xml:space="preserve">[32] A. Statnikov, D. Hardin, and C. Aliferis,</w:t>
      </w:r>
      <w:r>
        <w:t xml:space="preserve"> </w:t>
      </w:r>
      <w:r>
        <w:t xml:space="preserve">“Using SVM Weight-Based Methods to Identify Causally Relevant and Non-Causally Relevant Variables,”</w:t>
      </w:r>
      <w:r>
        <w:t xml:space="preserve"> </w:t>
      </w:r>
      <w:r>
        <w:t xml:space="preserve">Sign, vol. 1, Jan. 2006.</w:t>
      </w:r>
    </w:p>
    <w:p>
      <w:pPr>
        <w:pStyle w:val="BodyText"/>
      </w:pPr>
      <w:r>
        <w:t xml:space="preserve">[33] C. W. Hsu, C. C. Chang, and C. J. Lin,</w:t>
      </w:r>
      <w:r>
        <w:t xml:space="preserve"> </w:t>
      </w:r>
      <w:r>
        <w:t xml:space="preserve">“A Practical Guide to Support Vector Classification,”</w:t>
      </w:r>
      <w:r>
        <w:t xml:space="preserve"> </w:t>
      </w:r>
      <w:r>
        <w:t xml:space="preserve">Department of Computer Science, National Taiwan University, techreport, 2003.</w:t>
      </w:r>
    </w:p>
    <w:p>
      <w:pPr>
        <w:pStyle w:val="BodyText"/>
      </w:pPr>
      <w:r>
        <w:t xml:space="preserve">[34] M. Studer, G. Ritschard, A. Gabadinho, and N. S. Müller,</w:t>
      </w:r>
      <w:r>
        <w:t xml:space="preserve"> </w:t>
      </w:r>
      <w:r>
        <w:t xml:space="preserve">“Discrepancy analysis of state sequences,”</w:t>
      </w:r>
      <w:r>
        <w:t xml:space="preserve"> </w:t>
      </w:r>
      <w:r>
        <w:t xml:space="preserve">Sociol. Methods Res., vol. 40, no. 3, pp. 471–510, Aug. 2011.</w:t>
      </w:r>
    </w:p>
    <w:p>
      <w:pPr>
        <w:pStyle w:val="BodyText"/>
      </w:pPr>
      <w:r>
        <w:t xml:space="preserve">[35] X. Wu et al.,</w:t>
      </w:r>
      <w:r>
        <w:t xml:space="preserve"> </w:t>
      </w:r>
      <w:r>
        <w:t xml:space="preserve">“Top 10 algorithms in data mining,”</w:t>
      </w:r>
      <w:r>
        <w:t xml:space="preserve"> </w:t>
      </w:r>
      <w:r>
        <w:t xml:space="preserve">Knowl. Inf. Syst., vol. 14, no. 1, pp. 1–37, Jan. 2008.</w:t>
      </w:r>
    </w:p>
    <w:p>
      <w:pPr>
        <w:pStyle w:val="BodyText"/>
      </w:pPr>
      <w:r>
        <w:t xml:space="preserve">[36] L. Rokach and O. Maimon, Data mining with decision trees. Singapore: World Scientific Publishing Company, 2014.</w:t>
      </w:r>
    </w:p>
    <w:p>
      <w:pPr>
        <w:pStyle w:val="BodyText"/>
      </w:pPr>
      <w:r>
        <w:t xml:space="preserve">[37]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p>
    <w:p>
      <w:pPr>
        <w:pStyle w:val="BodyText"/>
      </w:pPr>
      <w:r>
        <w:t xml:space="preserve">[38] J. R. Quinlan,</w:t>
      </w:r>
      <w:r>
        <w:t xml:space="preserve"> </w:t>
      </w:r>
      <w:r>
        <w:t xml:space="preserve">“Induction of decision trees,”</w:t>
      </w:r>
      <w:r>
        <w:t xml:space="preserve"> </w:t>
      </w:r>
      <w:r>
        <w:t xml:space="preserve">Mach. Learn., vol. 1, no. 1, pp. 81–106, Mar. 1986.</w:t>
      </w:r>
    </w:p>
    <w:p>
      <w:pPr>
        <w:pStyle w:val="BodyText"/>
      </w:pPr>
      <w:r>
        <w:t xml:space="preserve">[39] L. Rokach and O. Maimon,</w:t>
      </w:r>
      <w:r>
        <w:t xml:space="preserve"> </w:t>
      </w:r>
      <w:r>
        <w:t xml:space="preserve">“Top-down induction of decision trees classifiers—A survey,”</w:t>
      </w:r>
      <w:r>
        <w:t xml:space="preserve"> </w:t>
      </w:r>
      <w:r>
        <w:t xml:space="preserve">IEEE Trans. Syst. Man Cybern. C Appl. Rev., vol. 35, no. 4, pp. 476–487, Nov. 2005.</w:t>
      </w:r>
    </w:p>
    <w:p>
      <w:pPr>
        <w:pStyle w:val="BodyText"/>
      </w:pPr>
      <w:r>
        <w:t xml:space="preserve">[40] A. McCallum, Graphical Models Lecture 2: Bayesian Network Representation. https://people.cs.umass.edu/ mccallum/courses/gm2011/02-bn-rep.pdf, 2011. [Online] . Available: https://people.cs.umass.edu/ mccallum/courses/gm2011/02-bn-rep.pdf</w:t>
      </w:r>
    </w:p>
    <w:p>
      <w:pPr>
        <w:pStyle w:val="BodyText"/>
      </w:pPr>
      <w:r>
        <w:t xml:space="preserve">[41] S. J. Russell and P. Norvig, Artificial intelligence: a modern approach. London, England: Pearson, 2016.</w:t>
      </w:r>
    </w:p>
    <w:p>
      <w:pPr>
        <w:pStyle w:val="BodyText"/>
      </w:pPr>
      <w:r>
        <w:t xml:space="preserve">[42] D. J. Hand and K. Yu,</w:t>
      </w:r>
      <w:r>
        <w:t xml:space="preserve"> </w:t>
      </w:r>
      <w:r>
        <w:t xml:space="preserve">“Idiot’s Bayes: Not So Stupid after All?,”</w:t>
      </w:r>
      <w:r>
        <w:t xml:space="preserve"> </w:t>
      </w:r>
      <w:r>
        <w:t xml:space="preserve">Int. Stat. Rev., vol. 69, no. 3, p. 385, Dec. 2001.</w:t>
      </w:r>
    </w:p>
    <w:p>
      <w:pPr>
        <w:pStyle w:val="BodyText"/>
      </w:pPr>
      <w:r>
        <w:t xml:space="preserve">[43]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p>
    <w:p>
      <w:pPr>
        <w:pStyle w:val="BodyText"/>
      </w:pPr>
      <w:r>
        <w:t xml:space="preserve">[44]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p>
    <w:p>
      <w:pPr>
        <w:pStyle w:val="BodyText"/>
      </w:pPr>
      <w:r>
        <w:t xml:space="preserve">[45] StackExchange, Why is the SVM margin equal to 2/w? — math.stackexchange.com. https://math.stackexchange.com/questions/1305925/why-is-the-svm-margin-equal-to-frac2-mathbfw, 2024. [Online] . Available: https://math.stackexchange.com/questions/1305925/why-is-the-svm-margin-equal-to-frac2-mathbfw</w:t>
      </w:r>
    </w:p>
    <w:p>
      <w:pPr>
        <w:pStyle w:val="BodyText"/>
      </w:pPr>
      <w:r>
        <w:t xml:space="preserve">[46] M. N. Murty and V. S. Devi, Pattern recognition: An algorithmic approach. Berlin/Heidelberg, Germany: Springer Science &amp; Business Media, 2011.</w:t>
      </w:r>
    </w:p>
    <w:p>
      <w:pPr>
        <w:pStyle w:val="BodyText"/>
      </w:pPr>
      <w:r>
        <w:t xml:space="preserve">[47] G. H. John and P. Langley, Estimating Continuous Distributions in Bayesian Classifiers. 2013.</w:t>
      </w:r>
    </w:p>
    <w:p>
      <w:pPr>
        <w:pStyle w:val="BodyText"/>
      </w:pPr>
      <w:r>
        <w:t xml:space="preserve">[48] A. Mccallum and K. Nigam,</w:t>
      </w:r>
      <w:r>
        <w:t xml:space="preserve"> </w:t>
      </w:r>
      <w:r>
        <w:t xml:space="preserve">“A Comparison of Event Models for Naive Bayes Text Classification,”</w:t>
      </w:r>
      <w:r>
        <w:t xml:space="preserve"> </w:t>
      </w:r>
      <w:r>
        <w:t xml:space="preserve">Work Learn Text Categ, vol. 752, May 2001.</w:t>
      </w:r>
    </w:p>
    <w:p>
      <w:pPr>
        <w:pStyle w:val="BodyText"/>
      </w:pPr>
      <w:r>
        <w:t xml:space="preserve">[49] V. Metsis, I. Androutsopoulos, and G. Paliouras,</w:t>
      </w:r>
      <w:r>
        <w:t xml:space="preserve"> </w:t>
      </w:r>
      <w:r>
        <w:t xml:space="preserve">“Spam Filtering with Naive Bayes - Which Naive Bayes?,”</w:t>
      </w:r>
      <w:r>
        <w:t xml:space="preserve"> </w:t>
      </w:r>
      <w:r>
        <w:t xml:space="preserve">Jan. 2006.</w:t>
      </w:r>
    </w:p>
    <w:p>
      <w:pPr>
        <w:pStyle w:val="BodyText"/>
      </w:pPr>
      <w:r>
        <w:t xml:space="preserve">[50] S. M. Piryonesi and T. E. El-Diraby,</w:t>
      </w:r>
      <w:r>
        <w:t xml:space="preserve"> </w:t>
      </w:r>
      <w:r>
        <w:t xml:space="preserve">“Role of data analytics in infrastructure asset management: Overcoming data size and quality problems,”</w:t>
      </w:r>
      <w:r>
        <w:t xml:space="preserve"> </w:t>
      </w:r>
      <w:r>
        <w:t xml:space="preserve">J. Transp. Eng. B Pavements, vol. 146, no. 2, p. 04020022, Jun. 2020.</w:t>
      </w:r>
    </w:p>
    <w:p>
      <w:pPr>
        <w:pStyle w:val="BodyText"/>
      </w:pPr>
      <w:r>
        <w:t xml:space="preserve">[51] MIT, Explained: Neural networks — news.mit.edu. https://news.mit.edu/2017/explained-neural-networks-deep-learning-0414, 2017. [Online] . Available: https://news.mit.edu/2017/explained-neural-networks-deep-learning-0414</w:t>
      </w:r>
    </w:p>
    <w:p>
      <w:pPr>
        <w:pStyle w:val="BodyText"/>
      </w:pPr>
      <w:r>
        <w:t xml:space="preserve">[52] A. Brahme, Comprehensive biomedical physics. 8-11 Southampton Street, London: Newnes, 2014.</w:t>
      </w:r>
    </w:p>
    <w:p>
      <w:pPr>
        <w:pStyle w:val="BodyText"/>
      </w:pPr>
      <w:r>
        <w:t xml:space="preserve">[53]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w:t>
      </w:r>
    </w:p>
    <w:p>
      <w:pPr>
        <w:pStyle w:val="BodyText"/>
      </w:pPr>
      <w:r>
        <w:t xml:space="preserve">[54] S. L. Özesmi and U. Özesmi,</w:t>
      </w:r>
      <w:r>
        <w:t xml:space="preserve"> </w:t>
      </w:r>
      <w:r>
        <w:t xml:space="preserve">“An artificial neural network approach to spatial habitat modelling with interspecific interaction,”</w:t>
      </w:r>
      <w:r>
        <w:t xml:space="preserve"> </w:t>
      </w:r>
      <w:r>
        <w:t xml:space="preserve">Ecological modelling, vol. 116, no. 1, pp. 15–31, 1999.</w:t>
      </w:r>
    </w:p>
    <w:p>
      <w:pPr>
        <w:pStyle w:val="BodyText"/>
      </w:pPr>
      <w:r>
        <w:t xml:space="preserve">[55] C. Bishop, Pattern Recognition and Machine Learning. Berlin/Heidelberg, Germany: Springer, 2006.</w:t>
      </w:r>
    </w:p>
    <w:p>
      <w:pPr>
        <w:pStyle w:val="BodyText"/>
      </w:pPr>
      <w:r>
        <w:t xml:space="preserve">[56] V. Vapnik, The nature of statistical learning theory. Berlin/Heidelberg, Germany: Springer science &amp; business media, 2013.</w:t>
      </w:r>
    </w:p>
    <w:p>
      <w:pPr>
        <w:pStyle w:val="BodyText"/>
      </w:pPr>
      <w:r>
        <w:t xml:space="preserve">[57] I. Goodfellow, Deep learning. MIT press, 2016.</w:t>
      </w:r>
    </w:p>
    <w:p>
      <w:pPr>
        <w:pStyle w:val="BodyText"/>
      </w:pPr>
      <w:r>
        <w:t xml:space="preserve">[58] P. Probst, A. L. Boulesteix, and B. Bischl,</w:t>
      </w:r>
      <w:r>
        <w:t xml:space="preserve"> </w:t>
      </w:r>
      <w:r>
        <w:t xml:space="preserve">“Tunability: Importance of hyperparameters of machine learning algorithms,”</w:t>
      </w:r>
      <w:r>
        <w:t xml:space="preserve"> </w:t>
      </w:r>
      <w:r>
        <w:t xml:space="preserve">Journal of Machine Learning Research, vol. 20, no. 53, pp. 1–32, 2019.</w:t>
      </w:r>
    </w:p>
    <w:p>
      <w:pPr>
        <w:pStyle w:val="BodyText"/>
      </w:pPr>
      <w:r>
        <w:t xml:space="preserve">[59] B. Zoph,</w:t>
      </w:r>
      <w:r>
        <w:t xml:space="preserve"> </w:t>
      </w:r>
      <w:r>
        <w:t xml:space="preserve">“Neural architecture search with reinforcement learning,”</w:t>
      </w:r>
      <w:r>
        <w:t xml:space="preserve"> </w:t>
      </w:r>
      <w:r>
        <w:t xml:space="preserve">arXiv preprint arXiv:1611.01578, 2016.</w:t>
      </w:r>
    </w:p>
    <w:p>
      <w:pPr>
        <w:pStyle w:val="BodyText"/>
      </w:pPr>
      <w:r>
        <w:t xml:space="preserve">[60] H. Jin, Q. Song, and X. Hu,</w:t>
      </w:r>
      <w:r>
        <w:t xml:space="preserve"> </w:t>
      </w:r>
      <w:r>
        <w:t xml:space="preserve">“Auto-keras: An efficient neural architecture search system,”</w:t>
      </w:r>
      <w:r>
        <w:t xml:space="preserve"> </w:t>
      </w:r>
      <w:r>
        <w:t xml:space="preserve">in Proceedings of the 25th ACM SIGKDD international conference on knowledge discovery &amp; data mining, 2019, pp. 1946–1956.</w:t>
      </w:r>
    </w:p>
    <w:p>
      <w:pPr>
        <w:pStyle w:val="BodyText"/>
      </w:pPr>
      <w:r>
        <w:t xml:space="preserve">[61] M. Claesen and B. De Moor,</w:t>
      </w:r>
      <w:r>
        <w:t xml:space="preserve"> </w:t>
      </w:r>
      <w:r>
        <w:t xml:space="preserve">“Hyperparameter search in machine learning,”</w:t>
      </w:r>
      <w:r>
        <w:t xml:space="preserve"> </w:t>
      </w:r>
      <w:r>
        <w:t xml:space="preserve">arXiv preprint arXiv:1502.02127, 2015.</w:t>
      </w:r>
    </w:p>
    <w:p>
      <w:pPr>
        <w:pStyle w:val="BodyText"/>
      </w:pPr>
      <w:r>
        <w:t xml:space="preserve">[62] Y. H. Liu, Python Machine Learning by Example: Build Intelligent Systems Using Python, TensorFlow 2, PyTorch, and Scikit-Learn. Birmingham, United Kingdom: Packt Publishing Ltd, 2020.</w:t>
      </w:r>
    </w:p>
    <w:p>
      <w:pPr>
        <w:pStyle w:val="BodyText"/>
      </w:pPr>
      <w:r>
        <w:t xml:space="preserve">[63] S. Wold, M. Sjöström, and L. Eriksson,</w:t>
      </w:r>
      <w:r>
        <w:t xml:space="preserve"> </w:t>
      </w:r>
      <w:r>
        <w:t xml:space="preserve">“PLS-regression: a basic tool of chemometrics,”</w:t>
      </w:r>
      <w:r>
        <w:t xml:space="preserve"> </w:t>
      </w:r>
      <w:r>
        <w:t xml:space="preserve">Chemometrics and intelligent laboratory systems, vol. 58, no. 2, pp. 109–130, 2001.</w:t>
      </w:r>
    </w:p>
    <w:p>
      <w:pPr>
        <w:pStyle w:val="BodyText"/>
      </w:pPr>
      <w:r>
        <w:t xml:space="preserve">[64]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w:t>
      </w:r>
    </w:p>
    <w:p>
      <w:pPr>
        <w:pStyle w:val="BodyText"/>
      </w:pPr>
      <w:r>
        <w:t xml:space="preserve">[65]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w:t>
      </w:r>
    </w:p>
    <w:p>
      <w:pPr>
        <w:pStyle w:val="BodyText"/>
      </w:pPr>
      <w:r>
        <w:t xml:space="preserve">[66] H. Asada, Fall Term (AY 2020-2021) - 2.160 Identification, Estim, &amp; Learn Lecture 6: Partial Least Squares Regression. https://www.youtube.com/watch?v=Px2otK2nZ1c&amp;t=46s, 2020. [Online] . Available: https://www.youtube.com/watch?v=Px2otK2nZ1c&amp;t=46s</w:t>
      </w:r>
    </w:p>
    <w:p>
      <w:pPr>
        <w:pStyle w:val="BodyText"/>
      </w:pPr>
      <w:r>
        <w:t xml:space="preserve">[67] F. Lindgren, P. Geladi, and S. Wold,</w:t>
      </w:r>
      <w:r>
        <w:t xml:space="preserve"> </w:t>
      </w:r>
      <w:r>
        <w:t xml:space="preserve">“The kernel algorithm for PLS,”</w:t>
      </w:r>
      <w:r>
        <w:t xml:space="preserve"> </w:t>
      </w:r>
      <w:r>
        <w:t xml:space="preserve">Journal of Chemometrics, vol. 7, no. 1, pp. 45–59, 1993.</w:t>
      </w:r>
    </w:p>
    <w:p>
      <w:pPr>
        <w:pStyle w:val="BodyText"/>
      </w:pPr>
      <w:r>
        <w:t xml:space="preserve">[68] S. De Jong and C. J. F. Ter Braak,</w:t>
      </w:r>
      <w:r>
        <w:t xml:space="preserve"> </w:t>
      </w:r>
      <w:r>
        <w:t xml:space="preserve">“Comments on the PLS kernel algorithm,”</w:t>
      </w:r>
      <w:r>
        <w:t xml:space="preserve"> </w:t>
      </w:r>
      <w:r>
        <w:t xml:space="preserve">Journal of chemometrics, vol. 8, no. 2, pp. 169–174, 1994.</w:t>
      </w:r>
    </w:p>
    <w:p>
      <w:pPr>
        <w:pStyle w:val="BodyText"/>
      </w:pPr>
      <w:r>
        <w:t xml:space="preserve">[69] B. S. Dayal and J. F. MacGregor,</w:t>
      </w:r>
      <w:r>
        <w:t xml:space="preserve"> </w:t>
      </w:r>
      <w:r>
        <w:t xml:space="preserve">“Improved PLS algorithms,”</w:t>
      </w:r>
      <w:r>
        <w:t xml:space="preserve"> </w:t>
      </w:r>
      <w:r>
        <w:t xml:space="preserve">Journal of Chemometrics: A Journal of the Chemometrics Society, vol. 11, no. 1, pp. 73–85, 1997.</w:t>
      </w:r>
    </w:p>
    <w:p>
      <w:pPr>
        <w:pStyle w:val="BodyText"/>
      </w:pPr>
      <w:r>
        <w:t xml:space="preserve">[70] S. De Jong,</w:t>
      </w:r>
      <w:r>
        <w:t xml:space="preserve"> </w:t>
      </w:r>
      <w:r>
        <w:t xml:space="preserve">“SIMPLS: an alternative approach to partial least squares regression,”</w:t>
      </w:r>
      <w:r>
        <w:t xml:space="preserve"> </w:t>
      </w:r>
      <w:r>
        <w:t xml:space="preserve">Chemometrics and intelligent laboratory systems, vol. 18, no. 3, pp. 251–263, 1993.</w:t>
      </w:r>
    </w:p>
    <w:p>
      <w:pPr>
        <w:pStyle w:val="BodyText"/>
      </w:pPr>
      <w:r>
        <w:t xml:space="preserve">[71] S. Rännar, F. Lindgren, P. Geladi, and S. Wold,</w:t>
      </w:r>
      <w:r>
        <w:t xml:space="preserve"> </w:t>
      </w:r>
      <w:r>
        <w:t xml:space="preserve">“A PLS kernel algorithm for data sets with many variables and fewer objects. Part 1: Theory and algorithm,”</w:t>
      </w:r>
      <w:r>
        <w:t xml:space="preserve"> </w:t>
      </w:r>
      <w:r>
        <w:t xml:space="preserve">Journal of Chemometrics, vol. 8, no. 2, pp. 111–125, 1994.</w:t>
      </w:r>
    </w:p>
    <w:p>
      <w:pPr>
        <w:pStyle w:val="BodyText"/>
      </w:pPr>
      <w:r>
        <w:t xml:space="preserve">[72] Y. Takane and S. Loisel,</w:t>
      </w:r>
      <w:r>
        <w:t xml:space="preserve"> </w:t>
      </w:r>
      <w:r>
        <w:t xml:space="preserve">“On the PLS algorithm for multiple regression (PLS1),”</w:t>
      </w:r>
      <w:r>
        <w:t xml:space="preserve"> </w:t>
      </w:r>
      <w:r>
        <w:t xml:space="preserve">in The Multiple Facets of Partial Least Squares and Related Methods: PLS, Paris, France, 2014 8, 2016, pp. 17–28.</w:t>
      </w:r>
    </w:p>
    <w:p>
      <w:pPr>
        <w:pStyle w:val="BodyText"/>
      </w:pPr>
      <w:r>
        <w:t xml:space="preserve">[73] A. Höskuldsson,</w:t>
      </w:r>
      <w:r>
        <w:t xml:space="preserve"> </w:t>
      </w:r>
      <w:r>
        <w:t xml:space="preserve">“PLS regression methods,”</w:t>
      </w:r>
      <w:r>
        <w:t xml:space="preserve"> </w:t>
      </w:r>
      <w:r>
        <w:t xml:space="preserve">Journal of chemometrics, vol. 2, no. 3, pp. 211–228, 1988.</w:t>
      </w:r>
    </w:p>
    <w:p>
      <w:pPr>
        <w:pStyle w:val="BodyText"/>
      </w:pPr>
      <w:r>
        <w:t xml:space="preserve">[74] T. Hastie, A. Buja, and R. Tibshirani,</w:t>
      </w:r>
      <w:r>
        <w:t xml:space="preserve"> </w:t>
      </w:r>
      <w:r>
        <w:t xml:space="preserve">“Penalized discriminant analysis,”</w:t>
      </w:r>
      <w:r>
        <w:t xml:space="preserve"> </w:t>
      </w:r>
      <w:r>
        <w:t xml:space="preserve">The Annals of Statistics, vol. 23, no. 1, pp. 73–102, 1995.</w:t>
      </w:r>
    </w:p>
    <w:p>
      <w:pPr>
        <w:pStyle w:val="BodyText"/>
      </w:pPr>
      <w:r>
        <w:t xml:space="preserve">[75] T. Hastie, R. Tibshirani, J. H. Friedman, and J. H. Friedman, The elements of statistical learning: data mining, inference, and prediction, vol. 2. Berlin/Heidelberg, Germany: Springer, 2009.</w:t>
      </w:r>
    </w:p>
    <w:p>
      <w:pPr>
        <w:pStyle w:val="BodyText"/>
      </w:pPr>
      <w:r>
        <w:t xml:space="preserve">[76] T. Hastie, R. Tibshirani, and A. Buja,</w:t>
      </w:r>
      <w:r>
        <w:t xml:space="preserve"> </w:t>
      </w:r>
      <w:r>
        <w:t xml:space="preserve">“Flexible discriminant analysis by optimal scoring,”</w:t>
      </w:r>
      <w:r>
        <w:t xml:space="preserve"> </w:t>
      </w:r>
      <w:r>
        <w:t xml:space="preserve">Journal of the American statistical association, vol. 89, no. 428, pp. 1255–1270, 1994.</w:t>
      </w:r>
    </w:p>
    <w:p>
      <w:pPr>
        <w:pStyle w:val="BodyText"/>
      </w:pPr>
      <w:r>
        <w:t xml:space="preserve">[77]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w:t>
      </w:r>
    </w:p>
    <w:p>
      <w:pPr>
        <w:pStyle w:val="BodyText"/>
      </w:pPr>
      <w:r>
        <w:t xml:space="preserve">[78] N. D. Phillips et al.,</w:t>
      </w:r>
      <w:r>
        <w:t xml:space="preserve"> </w:t>
      </w:r>
      <w:r>
        <w:t xml:space="preserve">“Applying species distribution modelling to a data poor, pelagic fish complex: the ocean sunfishes,”</w:t>
      </w:r>
      <w:r>
        <w:t xml:space="preserve"> </w:t>
      </w:r>
      <w:r>
        <w:t xml:space="preserve">Journal of biogeography, vol. 44, no. 10, pp. 2176–2187, 2017.</w:t>
      </w:r>
    </w:p>
    <w:p>
      <w:pPr>
        <w:pStyle w:val="BodyText"/>
      </w:pPr>
      <w:r>
        <w:t xml:space="preserve">[79] W. Hallgren, F. Santana, S. Low-Choy, Y. Zhao, and B. Mackey,</w:t>
      </w:r>
      <w:r>
        <w:t xml:space="preserve"> </w:t>
      </w:r>
      <w:r>
        <w:t xml:space="preserve">“Species distribution models can be highly sensitive to algorithm configuration,”</w:t>
      </w:r>
      <w:r>
        <w:t xml:space="preserve"> </w:t>
      </w:r>
      <w:r>
        <w:t xml:space="preserve">Ecological Modelling, vol. 408, p. 108719, 2019.</w:t>
      </w:r>
    </w:p>
    <w:p>
      <w:pPr>
        <w:pStyle w:val="BodyText"/>
      </w:pPr>
      <w:r>
        <w:t xml:space="preserve">[80] W. Thuiller, D. Georges, R. Engler, and F. Breiner,</w:t>
      </w:r>
      <w:r>
        <w:t xml:space="preserve"> </w:t>
      </w:r>
      <w:r>
        <w:t xml:space="preserve">“Ensemble platform for species distribution modeling,”</w:t>
      </w:r>
      <w:r>
        <w:t xml:space="preserve"> </w:t>
      </w:r>
      <w:r>
        <w:t xml:space="preserve">R Package Version, pp. 3–1, 2016.</w:t>
      </w:r>
    </w:p>
    <w:p>
      <w:pPr>
        <w:pStyle w:val="BodyText"/>
      </w:pPr>
      <w:r>
        <w:t xml:space="preserve">[81] P. Quillfeldt, J. O. Engler, J. R. D. Silk, and R. A. Phillips,</w:t>
      </w:r>
      <w:r>
        <w:t xml:space="preserve"> </w:t>
      </w:r>
      <w:r>
        <w:t xml:space="preserve">“Influence of device accuracy and choice of algorithm for species distribution modelling of seabirds: a case study using black-browed albatrosses,”</w:t>
      </w:r>
      <w:r>
        <w:t xml:space="preserve"> </w:t>
      </w:r>
      <w:r>
        <w:t xml:space="preserve">Journal of Avian Biology, vol. 48, no. 12, pp. 1549–1555, 2017.</w:t>
      </w:r>
    </w:p>
    <w:p>
      <w:pPr>
        <w:pStyle w:val="BodyText"/>
      </w:pPr>
      <w:r>
        <w:t xml:space="preserve">[82] Z. Zhang, S. Xu, C. Capinha, R. Weterings, and T. Gao,</w:t>
      </w:r>
      <w:r>
        <w:t xml:space="preserve"> </w:t>
      </w:r>
      <w:r>
        <w:t xml:space="preserve">“Using species distribution model to predict the impact of climate change on the potential distribution of Japanese whiting Sillago japonica,”</w:t>
      </w:r>
      <w:r>
        <w:t xml:space="preserve"> </w:t>
      </w:r>
      <w:r>
        <w:t xml:space="preserve">Ecological Indicators, vol. 104, pp. 333–340, 2019.</w:t>
      </w:r>
    </w:p>
    <w:p>
      <w:pPr>
        <w:pStyle w:val="BodyText"/>
      </w:pPr>
      <w:r>
        <w:t xml:space="preserve">[83] J. Cohen, P. Cohen, S. G. West, and L. S. Aiken, Applied multiple regression/correlation analysis for the behavioral sciences. Milton Park, Abingdon-on-Thames, Oxfordshire, England, UK: Routledge, 2013.</w:t>
      </w:r>
    </w:p>
    <w:p>
      <w:pPr>
        <w:pStyle w:val="BodyText"/>
      </w:pPr>
      <w:r>
        <w:t xml:space="preserve">[84] J. Hansen, Using SPSS for windows and macintosh: analyzing and understanding data. Taylor &amp; Francis, 2005.</w:t>
      </w:r>
    </w:p>
    <w:p>
      <w:pPr>
        <w:pStyle w:val="BodyText"/>
      </w:pPr>
      <w:r>
        <w:t xml:space="preserve">[85] R. A. Fisher,</w:t>
      </w:r>
      <w:r>
        <w:t xml:space="preserve"> </w:t>
      </w:r>
      <w:r>
        <w:t xml:space="preserve">“The use of multiple measurements in taxonomic problems,”</w:t>
      </w:r>
      <w:r>
        <w:t xml:space="preserve"> </w:t>
      </w:r>
      <w:r>
        <w:t xml:space="preserve">Annals of eugenics, vol. 7, no. 2, pp. 179–188, 1936.</w:t>
      </w:r>
    </w:p>
    <w:p>
      <w:pPr>
        <w:pStyle w:val="BodyText"/>
      </w:pPr>
      <w:r>
        <w:t xml:space="preserve">[86] G. J. McLachlan, Discriminant analysis and statistical pattern recognition. Hoboken, New Jersey, U.S.: John Wiley &amp; Sons, 2005.</w:t>
      </w:r>
    </w:p>
    <w:p>
      <w:pPr>
        <w:pStyle w:val="BodyText"/>
      </w:pPr>
      <w:r>
        <w:t xml:space="preserve">[87] D. Wetcher-Hendricks, Analyzing quantitative data: An introduction for social researchers. Hoboken, New Jersey, U.S.: John Wiley &amp; Sons, 2011.</w:t>
      </w:r>
    </w:p>
    <w:p>
      <w:pPr>
        <w:pStyle w:val="BodyText"/>
      </w:pPr>
      <w:r>
        <w:t xml:space="preserve">[88] A. M. Martinez and A. C. Kak,</w:t>
      </w:r>
      <w:r>
        <w:t xml:space="preserve"> </w:t>
      </w:r>
      <w:r>
        <w:t xml:space="preserve">“PCA versus LDA,”</w:t>
      </w:r>
      <w:r>
        <w:t xml:space="preserve"> </w:t>
      </w:r>
      <w:r>
        <w:t xml:space="preserve">IEEE transactions on pattern analysis and machine intelligence, vol. 23, no. 2, pp. 228–233, 2001.</w:t>
      </w:r>
    </w:p>
    <w:p>
      <w:pPr>
        <w:pStyle w:val="BodyText"/>
      </w:pPr>
      <w:r>
        <w:t xml:space="preserve">[89] H. Abdi, Discriminant correspondence analysis, vol. 2007. Sage Thousand Oaks, CA, 2007, pp. 1–10.</w:t>
      </w:r>
    </w:p>
    <w:p>
      <w:pPr>
        <w:pStyle w:val="BodyText"/>
      </w:pPr>
      <w:r>
        <w:t xml:space="preserve">[90] G. Perriere and J. Thioulouse,</w:t>
      </w:r>
      <w:r>
        <w:t xml:space="preserve"> </w:t>
      </w:r>
      <w:r>
        <w:t xml:space="preserve">“Use of correspondence discriminant analysis to predict the subcellular location of bacterial proteins,”</w:t>
      </w:r>
      <w:r>
        <w:t xml:space="preserve"> </w:t>
      </w:r>
      <w:r>
        <w:t xml:space="preserve">Computer Methods and Programs in Biomedicine, vol. 70, no. 2, pp. 99–105, 2003.</w:t>
      </w:r>
    </w:p>
    <w:p>
      <w:pPr>
        <w:pStyle w:val="BodyText"/>
      </w:pPr>
      <w:r>
        <w:t xml:space="preserve">[91] B. Cokluk and S. Buyukozturk,</w:t>
      </w:r>
      <w:r>
        <w:t xml:space="preserve"> </w:t>
      </w:r>
      <w:r>
        <w:t xml:space="preserve">“Discriminant function analysis: concept and application,”</w:t>
      </w:r>
      <w:r>
        <w:t xml:space="preserve"> </w:t>
      </w:r>
      <w:r>
        <w:t xml:space="preserve">Eğitim araştırmaları dergisi, vol. 33, pp. 73–92, 2008.</w:t>
      </w:r>
    </w:p>
    <w:p>
      <w:pPr>
        <w:pStyle w:val="BodyText"/>
      </w:pPr>
      <w:r>
        <w:t xml:space="preserve">[92] W. N. Venables and B. D. Ripley, Modern applied statistics with S-PLUS. Berlin/Heidelberg, Germany: Springer Science &amp; Business Media, 2013.</w:t>
      </w:r>
    </w:p>
    <w:p>
      <w:pPr>
        <w:pStyle w:val="BodyText"/>
      </w:pPr>
      <w:r>
        <w:t xml:space="preserve">[93] P. A. Lachenbruch and M. Goldstein,</w:t>
      </w:r>
      <w:r>
        <w:t xml:space="preserve"> </w:t>
      </w:r>
      <w:r>
        <w:t xml:space="preserve">“Discriminant analysis,”</w:t>
      </w:r>
      <w:r>
        <w:t xml:space="preserve"> </w:t>
      </w:r>
      <w:r>
        <w:t xml:space="preserve">Biometrics, pp. 69–85, 1979.</w:t>
      </w:r>
    </w:p>
    <w:p>
      <w:pPr>
        <w:pStyle w:val="BodyText"/>
      </w:pPr>
      <w:r>
        <w:t xml:space="preserve">[94] W. R. Klecka, Discriminant analysis. London, United Kingdom: Sage, 1980.</w:t>
      </w:r>
    </w:p>
    <w:p>
      <w:pPr>
        <w:pStyle w:val="BodyText"/>
      </w:pPr>
      <w:r>
        <w:t xml:space="preserve">[95] W. K. Härdle, Applied multivariate statistical analysis. Berlin, Germany: Springer Nature, 2003.</w:t>
      </w:r>
    </w:p>
    <w:p>
      <w:pPr>
        <w:pStyle w:val="BodyText"/>
      </w:pPr>
      <w:r>
        <w:t xml:space="preserve">[96] G. D. Garson, PA 765: Discriminant Function Analysis — web.archive.org. https://web.archive.org/web/20080312065328/http://www2.chass.ncsu.edu/garson/pA765/discrim.htm, 2008. [Online] . Available: https://web.archive.org/web/20080312065328/http://www2.chass.ncsu.edu/garson/pA765/discrim.htm</w:t>
      </w:r>
    </w:p>
    <w:p>
      <w:pPr>
        <w:pStyle w:val="BodyText"/>
      </w:pPr>
      <w:r>
        <w:t xml:space="preserve">[97] S. A. Israel,</w:t>
      </w:r>
      <w:r>
        <w:t xml:space="preserve"> </w:t>
      </w:r>
      <w:r>
        <w:t xml:space="preserve">“Performance metrics: how and when,”</w:t>
      </w:r>
      <w:r>
        <w:t xml:space="preserve"> </w:t>
      </w:r>
      <w:r>
        <w:t xml:space="preserve">Geocarto International, vol. 21, no. 2, pp. 23–32, 2006.</w:t>
      </w:r>
    </w:p>
    <w:p>
      <w:pPr>
        <w:pStyle w:val="BodyText"/>
      </w:pPr>
      <w:r>
        <w:t xml:space="preserve">[98] C. R. Rao,</w:t>
      </w:r>
      <w:r>
        <w:t xml:space="preserve"> </w:t>
      </w:r>
      <w:r>
        <w:t xml:space="preserve">“The utilization of multiple measurements in problems of biological classification,”</w:t>
      </w:r>
      <w:r>
        <w:t xml:space="preserve"> </w:t>
      </w:r>
      <w:r>
        <w:t xml:space="preserve">Journal of the Royal Statistical Society. Series B (Methodological), vol. 10, no. 2, pp. 159–203, 1948.</w:t>
      </w:r>
    </w:p>
    <w:p>
      <w:pPr>
        <w:pStyle w:val="BodyText"/>
      </w:pPr>
      <w:r>
        <w:t xml:space="preserve">[99] B. D. Ripley, Pattern recognition and neural networks. Cambridge, United Kingdom: Cambridge university press, 2007.</w:t>
      </w:r>
    </w:p>
    <w:p>
      <w:pPr>
        <w:pStyle w:val="BodyText"/>
      </w:pPr>
      <w:r>
        <w:t xml:space="preserve">[100]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w:t>
      </w:r>
    </w:p>
    <w:p>
      <w:pPr>
        <w:pStyle w:val="BodyText"/>
      </w:pPr>
      <w:r>
        <w:t xml:space="preserve">[101] T. P. Barnett and R. Preisendorfer,</w:t>
      </w:r>
      <w:r>
        <w:t xml:space="preserve"> </w:t>
      </w:r>
      <w:r>
        <w:t xml:space="preserve">“Origins and levels of monthly and seasonal forecast skill for United States surface air temperatures determined by canonical correlation analysis,”</w:t>
      </w:r>
      <w:r>
        <w:t xml:space="preserve"> </w:t>
      </w:r>
      <w:r>
        <w:t xml:space="preserve">Monthly Weather Review, vol. 115, no. 9, pp. 1825–1850, 1987.</w:t>
      </w:r>
    </w:p>
    <w:p>
      <w:pPr>
        <w:pStyle w:val="BodyText"/>
      </w:pPr>
      <w:r>
        <w:t xml:space="preserve">[102] D. Hsu, S. M. Kakade, and T. Zhang,</w:t>
      </w:r>
      <w:r>
        <w:t xml:space="preserve"> </w:t>
      </w:r>
      <w:r>
        <w:t xml:space="preserve">“A spectral algorithm for learning hidden Markov models,”</w:t>
      </w:r>
      <w:r>
        <w:t xml:space="preserve"> </w:t>
      </w:r>
      <w:r>
        <w:t xml:space="preserve">Journal of Computer and System Sciences, vol. 78, no. 5, pp. 1460–1480, 2012.</w:t>
      </w:r>
    </w:p>
    <w:p>
      <w:pPr>
        <w:pStyle w:val="BodyText"/>
      </w:pPr>
      <w:r>
        <w:t xml:space="preserve">[103] P. P. Markopoulos, S. Kundu, S. Chamadia, and D. A. Pados,</w:t>
      </w:r>
      <w:r>
        <w:t xml:space="preserve"> </w:t>
      </w:r>
      <w:r>
        <w:t xml:space="preserve">“Efficient L1-norm principal-component analysis via bit flipping,”</w:t>
      </w:r>
      <w:r>
        <w:t xml:space="preserve"> </w:t>
      </w:r>
      <w:r>
        <w:t xml:space="preserve">IEEE Transactions on Signal Processing, vol. 65, no. 16, pp. 4252–4264, 2017.</w:t>
      </w:r>
    </w:p>
    <w:p>
      <w:pPr>
        <w:pStyle w:val="BodyText"/>
      </w:pPr>
      <w:r>
        <w:t xml:space="preserve">[104] D. G. Chachlakis, A. Prater-Bennette, and P. P. Markopoulos,</w:t>
      </w:r>
      <w:r>
        <w:t xml:space="preserve"> </w:t>
      </w:r>
      <w:r>
        <w:t xml:space="preserve">“L1-norm Tucker tensor decomposition,”</w:t>
      </w:r>
      <w:r>
        <w:t xml:space="preserve"> </w:t>
      </w:r>
      <w:r>
        <w:t xml:space="preserve">IEEE Access, vol. 7, pp. 178454–178465, 2019.</w:t>
      </w:r>
    </w:p>
    <w:p>
      <w:pPr>
        <w:pStyle w:val="BodyText"/>
      </w:pPr>
      <w:r>
        <w:t xml:space="preserve">[105] P. P. Markopoulos, G. N. Karystinos, and D. A. Pados,</w:t>
      </w:r>
      <w:r>
        <w:t xml:space="preserve"> </w:t>
      </w:r>
      <w:r>
        <w:t xml:space="preserve">“Optimal algorithms for L1-subspace signal processing,”</w:t>
      </w:r>
      <w:r>
        <w:t xml:space="preserve"> </w:t>
      </w:r>
      <w:r>
        <w:t xml:space="preserve">IEEE Transactions on Signal Processing, vol. 62, no. 19, pp. 5046–5058, 2014.</w:t>
      </w:r>
    </w:p>
    <w:p>
      <w:pPr>
        <w:pStyle w:val="BodyText"/>
      </w:pPr>
      <w:r>
        <w:t xml:space="preserve">[106] J. Zhan and N. Vaswani,</w:t>
      </w:r>
      <w:r>
        <w:t xml:space="preserve"> </w:t>
      </w:r>
      <w:r>
        <w:t xml:space="preserve">“Robust PCA with partial subspace knowledge,”</w:t>
      </w:r>
      <w:r>
        <w:t xml:space="preserve"> </w:t>
      </w:r>
      <w:r>
        <w:t xml:space="preserve">IEEE Transactions on Signal Processing, vol. 63, no. 13, pp. 3332–3347, 2015.</w:t>
      </w:r>
    </w:p>
    <w:p>
      <w:pPr>
        <w:pStyle w:val="BodyText"/>
      </w:pPr>
      <w:r>
        <w:t xml:space="preserve">[107] Q. Ke and T. Kanade,</w:t>
      </w:r>
      <w:r>
        <w:t xml:space="preserve"> </w:t>
      </w:r>
      <w:r>
        <w:t xml:space="preserve">“Robust l/sub 1/norm factorization in the presence of outliers and missing data by alternative convex programming,”</w:t>
      </w:r>
      <w:r>
        <w:t xml:space="preserve"> </w:t>
      </w:r>
      <w:r>
        <w:t xml:space="preserve">in 2005 IEEE Computer Society Conference on Computer Vision and Pattern Recognition (CVPR’05), 2005, vol. 1, pp. 739–746.</w:t>
      </w:r>
    </w:p>
    <w:p>
      <w:pPr>
        <w:pStyle w:val="BodyText"/>
      </w:pPr>
      <w:r>
        <w:t xml:space="preserve">[108] K. Pearson,</w:t>
      </w:r>
      <w:r>
        <w:t xml:space="preserve"> </w:t>
      </w:r>
      <w:r>
        <w:t xml:space="preserve">“LIII. On lines and planes of closest fit to systems of points in space,”</w:t>
      </w:r>
      <w:r>
        <w:t xml:space="preserve"> </w:t>
      </w:r>
      <w:r>
        <w:t xml:space="preserve">The London, Edinburgh, and Dublin philosophical magazine and journal of science, vol. 2, no. 11, pp. 559–572, 1901.</w:t>
      </w:r>
    </w:p>
    <w:p>
      <w:pPr>
        <w:pStyle w:val="BodyText"/>
      </w:pPr>
      <w:r>
        <w:t xml:space="preserve">[109] F. M. Stewart, Introduction to linear algebra. Mineola, New York, USA: Courier Dover Publications, 2019.</w:t>
      </w:r>
    </w:p>
    <w:p>
      <w:pPr>
        <w:pStyle w:val="BodyText"/>
      </w:pPr>
      <w:r>
        <w:t xml:space="preserve">[110] H. Hotelling,</w:t>
      </w:r>
      <w:r>
        <w:t xml:space="preserve"> </w:t>
      </w:r>
      <w:r>
        <w:t xml:space="preserve">“Analysis of a complex of statistical variables into principal components.,”</w:t>
      </w:r>
      <w:r>
        <w:t xml:space="preserve"> </w:t>
      </w:r>
      <w:r>
        <w:t xml:space="preserve">Journal of educational psychology, vol. 24, no. 6, p. 417, 1933.</w:t>
      </w:r>
    </w:p>
    <w:p>
      <w:pPr>
        <w:pStyle w:val="BodyText"/>
      </w:pPr>
      <w:r>
        <w:t xml:space="preserve">[111] H. Hotelling,</w:t>
      </w:r>
      <w:r>
        <w:t xml:space="preserve"> </w:t>
      </w:r>
      <w:r>
        <w:t xml:space="preserve">“Relations between two sets of variates,”</w:t>
      </w:r>
      <w:r>
        <w:t xml:space="preserve"> </w:t>
      </w:r>
      <w:r>
        <w:t xml:space="preserve">in Breakthroughs in statistics: methodology and distribution, Berlin/Heidelberg, Germany: Springer, 1992, pp. 162–190.</w:t>
      </w:r>
    </w:p>
    <w:p>
      <w:pPr>
        <w:pStyle w:val="BodyText"/>
      </w:pPr>
      <w:r>
        <w:t xml:space="preserve">[112] G. Berkooz, P. Holmes, and J. L. Lumley,</w:t>
      </w:r>
      <w:r>
        <w:t xml:space="preserve"> </w:t>
      </w:r>
      <w:r>
        <w:t xml:space="preserve">“The proper orthogonal decomposition in the analysis of turbulent flows,”</w:t>
      </w:r>
      <w:r>
        <w:t xml:space="preserve"> </w:t>
      </w:r>
      <w:r>
        <w:t xml:space="preserve">Annual review of fluid mechanics, vol. 25, no. 1, pp. 539–575, 1993.</w:t>
      </w:r>
    </w:p>
    <w:p>
      <w:pPr>
        <w:pStyle w:val="BodyText"/>
      </w:pPr>
      <w:r>
        <w:t xml:space="preserve">[113] K. Karhunen,</w:t>
      </w:r>
      <w:r>
        <w:t xml:space="preserve"> </w:t>
      </w:r>
      <w:r>
        <w:t xml:space="preserve">“Zur spektraltheorie stochasticher,”</w:t>
      </w:r>
      <w:r>
        <w:t xml:space="preserve"> </w:t>
      </w:r>
      <w:r>
        <w:t xml:space="preserve">in Annales Academiae Scientiarum Fennicae Series A, 1946, vol. 1, p. 34.</w:t>
      </w:r>
    </w:p>
    <w:p>
      <w:pPr>
        <w:pStyle w:val="BodyText"/>
      </w:pPr>
      <w:r>
        <w:t xml:space="preserve">[114] M. Loève, Elementary probability theory. Berlin/Heidelberg, Germany: Springer, 1977.</w:t>
      </w:r>
    </w:p>
    <w:p>
      <w:pPr>
        <w:pStyle w:val="BodyText"/>
      </w:pPr>
      <w:r>
        <w:t xml:space="preserve">[115] L. Sirovich,</w:t>
      </w:r>
      <w:r>
        <w:t xml:space="preserve"> </w:t>
      </w:r>
      <w:r>
        <w:t xml:space="preserve">“Turbulence and the dynamics of coherent structures. I. Coherent structures,”</w:t>
      </w:r>
      <w:r>
        <w:t xml:space="preserve"> </w:t>
      </w:r>
      <w:r>
        <w:t xml:space="preserve">Quarterly of applied mathematics, vol. 45, no. 3, pp. 561–571, 1987.</w:t>
      </w:r>
    </w:p>
    <w:p>
      <w:pPr>
        <w:pStyle w:val="BodyText"/>
      </w:pPr>
      <w:r>
        <w:t xml:space="preserve">[116] S. S. Sapatnekar,</w:t>
      </w:r>
      <w:r>
        <w:t xml:space="preserve"> </w:t>
      </w:r>
      <w:r>
        <w:t xml:space="preserve">“Overcoming variations in nanometer-scale technologies,”</w:t>
      </w:r>
      <w:r>
        <w:t xml:space="preserve"> </w:t>
      </w:r>
      <w:r>
        <w:t xml:space="preserve">IEEE Journal on Emerging and Selected Topics in Circuits and Systems, vol. 1, no. 1, pp. 5–18, 2011.</w:t>
      </w:r>
    </w:p>
    <w:p>
      <w:pPr>
        <w:pStyle w:val="BodyText"/>
      </w:pPr>
      <w:r>
        <w:t xml:space="preserve">[117] S. Ghoman, Z. Wang, P. Chen, and R. Kapania,</w:t>
      </w:r>
      <w:r>
        <w:t xml:space="preserve"> </w:t>
      </w:r>
      <w:r>
        <w:t xml:space="preserve">“A POD-based reduced order design scheme for shape optimization of air vehicles,”</w:t>
      </w:r>
      <w:r>
        <w:t xml:space="preserve"> </w:t>
      </w:r>
      <w:r>
        <w:t xml:space="preserve">in 53rd AIAA/ASME/ASCE/AHS/ASC Structures, Structural Dynamics and Materials Conference 20th AIAA/ASME/AHS Adaptive Structures Conference 14th AIAA, 2012, p. 1808.</w:t>
      </w:r>
    </w:p>
    <w:p>
      <w:pPr>
        <w:pStyle w:val="BodyText"/>
      </w:pPr>
      <w:r>
        <w:t xml:space="preserve">[118] R. Wang, Computer Image Processing and Analysis (E161) lectures, Harvey Mudd College, Karhunen-Loeve Transform (KLT). https://web.archive.org/web/20161128140401/http://fourier.eng.hmc.edu/e161/lectures/klt/node3.html, 2016. [Online] . Available: https://web.archive.org/web/20161128140401/http://fourier.eng.hmc.edu/e161/lectures/klt/node3.html</w:t>
      </w:r>
    </w:p>
    <w:p>
      <w:pPr>
        <w:pStyle w:val="BodyText"/>
      </w:pPr>
      <w:r>
        <w:t xml:space="preserve">[119] G. Giambartolomei,</w:t>
      </w:r>
      <w:r>
        <w:t xml:space="preserve"> </w:t>
      </w:r>
      <w:r>
        <w:t xml:space="preserve">“The Karhunen-Loève theorem,”</w:t>
      </w:r>
      <w:r>
        <w:t xml:space="preserve"> </w:t>
      </w:r>
      <w:r>
        <w:t xml:space="preserve">phdthesis, University of Bologna, 2016. [Online] . Available: http://amslaurea.unibo.it/10169/</w:t>
      </w:r>
    </w:p>
    <w:p>
      <w:pPr>
        <w:pStyle w:val="BodyText"/>
      </w:pPr>
      <w:r>
        <w:t xml:space="preserve">[120] S. Mallat, A wavelet tour of signal processing. Cambridge, Massachusetts: Academic Press, 1999.</w:t>
      </w:r>
    </w:p>
    <w:p>
      <w:pPr>
        <w:pStyle w:val="BodyText"/>
      </w:pPr>
      <w:r>
        <w:t xml:space="preserve">[121] X. Tang,</w:t>
      </w:r>
      <w:r>
        <w:t xml:space="preserve"> </w:t>
      </w:r>
      <w:r>
        <w:t xml:space="preserve">“Texture information in run-length matrices,”</w:t>
      </w:r>
      <w:r>
        <w:t xml:space="preserve"> </w:t>
      </w:r>
      <w:r>
        <w:t xml:space="preserve">IEEE transactions on image processing, vol. 7, no. 11, pp. 1602–1609, 1998.</w:t>
      </w:r>
    </w:p>
    <w:p>
      <w:pPr>
        <w:pStyle w:val="BodyText"/>
      </w:pPr>
      <w:r>
        <w:t xml:space="preserve">[122] G. W. Stewart,</w:t>
      </w:r>
      <w:r>
        <w:t xml:space="preserve"> </w:t>
      </w:r>
      <w:r>
        <w:t xml:space="preserve">“On the early history of the singular value decomposition,”</w:t>
      </w:r>
      <w:r>
        <w:t xml:space="preserve"> </w:t>
      </w:r>
      <w:r>
        <w:t xml:space="preserve">SIAM review, vol. 35, no. 4, pp. 551–566, 1993.</w:t>
      </w:r>
    </w:p>
    <w:p>
      <w:pPr>
        <w:pStyle w:val="BodyText"/>
      </w:pPr>
      <w:r>
        <w:t xml:space="preserve">[123] G. H. Gloub and C. F. Van Loan,</w:t>
      </w:r>
      <w:r>
        <w:t xml:space="preserve"> </w:t>
      </w:r>
      <w:r>
        <w:t xml:space="preserve">“Matrix computations,”</w:t>
      </w:r>
      <w:r>
        <w:t xml:space="preserve"> </w:t>
      </w:r>
      <w:r>
        <w:t xml:space="preserve">Johns Hopkins Universtiy Press, 3rd edtion, 1996.</w:t>
      </w:r>
    </w:p>
    <w:p>
      <w:pPr>
        <w:pStyle w:val="BodyText"/>
      </w:pPr>
      <w:r>
        <w:t xml:space="preserve">[124] A. F. Hayden and D. R. Twede,</w:t>
      </w:r>
      <w:r>
        <w:t xml:space="preserve"> </w:t>
      </w:r>
      <w:r>
        <w:t xml:space="preserve">“Observations on the relationship between eigenvalues, instrument noise, and detection performance,”</w:t>
      </w:r>
      <w:r>
        <w:t xml:space="preserve"> </w:t>
      </w:r>
      <w:r>
        <w:t xml:space="preserve">in Imaging Spectrometry VIII, 2002, vol. 4816, pp. 355–362.</w:t>
      </w:r>
    </w:p>
    <w:p>
      <w:pPr>
        <w:pStyle w:val="BodyText"/>
      </w:pPr>
      <w:r>
        <w:t xml:space="preserve">[125] I. T. Jolliffe, Principal Component Analysis (Springer Series in Statistics), Springer. 2002.</w:t>
      </w:r>
    </w:p>
    <w:p>
      <w:pPr>
        <w:pStyle w:val="BodyText"/>
      </w:pPr>
      <w:r>
        <w:t xml:space="preserve">[126] E. N. Lorenz, Empirical orthogonal functions and statistical weather prediction, vol. 1. Cambridge, Massachusetts: Massachusetts Institute of Technology, Department of Meteorology Cambridge, 1956.</w:t>
      </w:r>
    </w:p>
    <w:p>
      <w:pPr>
        <w:pStyle w:val="BodyText"/>
      </w:pPr>
      <w:r>
        <w:t xml:space="preserve">[127] C. Eckart and G. Young,</w:t>
      </w:r>
      <w:r>
        <w:t xml:space="preserve"> </w:t>
      </w:r>
      <w:r>
        <w:t xml:space="preserve">“The approximation of one matrix by another of lower rank,”</w:t>
      </w:r>
      <w:r>
        <w:t xml:space="preserve"> </w:t>
      </w:r>
      <w:r>
        <w:t xml:space="preserve">Psychometrika, vol. 1, no. 3, pp. 211–218, 1936.</w:t>
      </w:r>
    </w:p>
    <w:p>
      <w:pPr>
        <w:pStyle w:val="BodyText"/>
      </w:pPr>
      <w:r>
        <w:t xml:space="preserve">[128] M. T. Dove, Introduction to lattice dynamics. Cambridge, United Kingdom: Cambridge university press, 1993.</w:t>
      </w:r>
    </w:p>
    <w:p>
      <w:pPr>
        <w:pStyle w:val="BodyText"/>
      </w:pPr>
      <w:r>
        <w:t xml:space="preserve">[129] Y. Bengio, A. Courville, and P. Vincent,</w:t>
      </w:r>
      <w:r>
        <w:t xml:space="preserve"> </w:t>
      </w:r>
      <w:r>
        <w:t xml:space="preserve">“Representation learning: A review and new perspectives,”</w:t>
      </w:r>
      <w:r>
        <w:t xml:space="preserve"> </w:t>
      </w:r>
      <w:r>
        <w:t xml:space="preserve">IEEE transactions on pattern analysis and machine intelligence, vol. 35, no. 8, pp. 1798–1828, 2013.</w:t>
      </w:r>
    </w:p>
    <w:p>
      <w:pPr>
        <w:pStyle w:val="BodyText"/>
      </w:pPr>
      <w:r>
        <w:t xml:space="preserve">[130] J. Forkman, J. Josse, and H. P. Piepho,</w:t>
      </w:r>
      <w:r>
        <w:t xml:space="preserve"> </w:t>
      </w:r>
      <w:r>
        <w:t xml:space="preserve">“Hypothesis tests for principal component analysis when variables are standardized,”</w:t>
      </w:r>
      <w:r>
        <w:t xml:space="preserve"> </w:t>
      </w:r>
      <w:r>
        <w:t xml:space="preserve">Journal of Agricultural, Biological and Environmental Statistics, vol. 24, pp. 289–308, 2019.</w:t>
      </w:r>
    </w:p>
    <w:p>
      <w:pPr>
        <w:pStyle w:val="BodyText"/>
      </w:pPr>
      <w:r>
        <w:t xml:space="preserve">[131] P. K. Enge,</w:t>
      </w:r>
      <w:r>
        <w:t xml:space="preserve"> </w:t>
      </w:r>
      <w:r>
        <w:t xml:space="preserve">“The global positioning system: Signals, measurements, and performance,”</w:t>
      </w:r>
      <w:r>
        <w:t xml:space="preserve"> </w:t>
      </w:r>
      <w:r>
        <w:t xml:space="preserve">International Journal of Wireless Information Networks, vol. 1, pp. 83–105, 1994.</w:t>
      </w:r>
    </w:p>
    <w:p>
      <w:pPr>
        <w:pStyle w:val="BodyText"/>
      </w:pPr>
      <w:r>
        <w:t xml:space="preserve">[132] J. A. Klobuchar,</w:t>
      </w:r>
      <w:r>
        <w:t xml:space="preserve"> </w:t>
      </w:r>
      <w:r>
        <w:t xml:space="preserve">“Ionospheric time-delay algorithm for single-frequency GPS users,”</w:t>
      </w:r>
      <w:r>
        <w:t xml:space="preserve"> </w:t>
      </w:r>
      <w:r>
        <w:t xml:space="preserve">IEEE Transactions on aerospace and electronic systems, pp. 325–331, 1987.</w:t>
      </w:r>
    </w:p>
    <w:p>
      <w:pPr>
        <w:pStyle w:val="BodyText"/>
      </w:pPr>
      <w:r>
        <w:t xml:space="preserve">[133] R. E. Fan, K. W. Chang, C. J. Hsieh, X. R. Wang, and C. J. Lin,</w:t>
      </w:r>
      <w:r>
        <w:t xml:space="preserve"> </w:t>
      </w:r>
      <w:r>
        <w:t xml:space="preserve">“LIBLINEAR: a library for large linear classification,”</w:t>
      </w:r>
      <w:r>
        <w:t xml:space="preserve"> </w:t>
      </w:r>
      <w:r>
        <w:t xml:space="preserve">Journal of Machine Learning Research, vol. 9, pp. 1871–1874, Aug. 2008, doi: 10.1145/1390681.1442794.</w:t>
      </w:r>
    </w:p>
    <w:p>
      <w:pPr>
        <w:pStyle w:val="BodyText"/>
      </w:pPr>
      <w:r>
        <w:t xml:space="preserve">[134]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w:t>
      </w:r>
    </w:p>
    <w:p>
      <w:pPr>
        <w:pStyle w:val="BodyText"/>
      </w:pPr>
      <w:r>
        <w:t xml:space="preserve">[135] P. G. Fennell, Z. Zuo, and K. Lerman,</w:t>
      </w:r>
      <w:r>
        <w:t xml:space="preserve"> </w:t>
      </w:r>
      <w:r>
        <w:t xml:space="preserve">“Predicting and explaining behavioral data with structured feature space decomposition,”</w:t>
      </w:r>
      <w:r>
        <w:t xml:space="preserve"> </w:t>
      </w:r>
      <w:r>
        <w:t xml:space="preserve">EPJ Data Sci., vol. 8, no. 1, Dec. 2019.</w:t>
      </w:r>
    </w:p>
    <w:p>
      <w:pPr>
        <w:pStyle w:val="BodyText"/>
      </w:pPr>
      <w:r>
        <w:t xml:space="preserve">[136] M. Kuhn, 4 Data Splitting | The caret Package — topepo.github.io. https://topepo.github.io/caret/data-splitting.html, 2024. [Online] . Available: https://topepo.github.io/caret/data-splitting.html</w:t>
      </w:r>
    </w:p>
    <w:p>
      <w:pPr>
        <w:pStyle w:val="BodyText"/>
      </w:pPr>
      <w:r>
        <w:t xml:space="preserve">[137] R. J. Hyndman, Forecasting: principles and practice. Melbourne, Australia: OTexts, 2018.</w:t>
      </w:r>
    </w:p>
    <w:p>
      <w:pPr>
        <w:pStyle w:val="BodyText"/>
      </w:pPr>
      <w:r>
        <w:t xml:space="preserve">[138] R. createDataPartition developers, createDataPartition function - RDocumentation — rdocumentation.org. https://www.rdocumentation.org/packages/caret/versions/6.0-94/topics/createDataPartition, 2024. [Online] . Available: https://www.rdocumentation.org/packages/caret/versions/6.0-94/topics/createDataPartition</w:t>
      </w:r>
    </w:p>
    <w:p>
      <w:pPr>
        <w:pStyle w:val="BodyText"/>
      </w:pPr>
      <w:r>
        <w:t xml:space="preserve">[139] M. Kuhn,</w:t>
      </w:r>
      <w:r>
        <w:t xml:space="preserve"> </w:t>
      </w:r>
      <w:r>
        <w:t xml:space="preserve">“Building predictive models in R using the caret package,”</w:t>
      </w:r>
      <w:r>
        <w:t xml:space="preserve"> </w:t>
      </w:r>
      <w:r>
        <w:t xml:space="preserve">Journal of statistical software, vol. 28, pp. 1–26, 2008.</w:t>
      </w:r>
    </w:p>
    <w:p>
      <w:pPr>
        <w:pStyle w:val="BodyText"/>
      </w:pPr>
      <w:r>
        <w:t xml:space="preserve">[140] D. G. Altman and J. M. Bland,</w:t>
      </w:r>
      <w:r>
        <w:t xml:space="preserve"> </w:t>
      </w:r>
      <w:r>
        <w:t xml:space="preserve">“Diagnostic tests. 1: Sensitivity and specificity.,”</w:t>
      </w:r>
      <w:r>
        <w:t xml:space="preserve"> </w:t>
      </w:r>
      <w:r>
        <w:t xml:space="preserve">BMJ: British Medical Journal, vol. 308, no. 6943, p. 1552, 1994.</w:t>
      </w:r>
    </w:p>
    <w:p>
      <w:pPr>
        <w:pStyle w:val="BodyText"/>
      </w:pPr>
      <w:r>
        <w:t xml:space="preserve">[141] D. G. Altman and J. M. Bland,</w:t>
      </w:r>
      <w:r>
        <w:t xml:space="preserve"> </w:t>
      </w:r>
      <w:r>
        <w:t xml:space="preserve">“Diagnostic test 2: predictive values,”</w:t>
      </w:r>
      <w:r>
        <w:t xml:space="preserve"> </w:t>
      </w:r>
      <w:r>
        <w:t xml:space="preserve">BMJ: British Medical Journal, vol. 309, p. 102, 1994.</w:t>
      </w:r>
    </w:p>
    <w:p>
      <w:pPr>
        <w:pStyle w:val="BodyText"/>
      </w:pPr>
      <w:r>
        <w:t xml:space="preserve">[142] D. R. Velez et al.,</w:t>
      </w:r>
      <w:r>
        <w:t xml:space="preserve"> </w:t>
      </w:r>
      <w:r>
        <w:t xml:space="preserve">“A balanced accuracy function for epistasis modeling in imbalanced datasets using multifactor dimensionality reduction,”</w:t>
      </w:r>
      <w:r>
        <w:t xml:space="preserve"> </w:t>
      </w:r>
      <w:r>
        <w:t xml:space="preserve">Genetic Epidemiology: the Official Publication of the International Genetic Epidemiology Society, vol. 31, no. 4, pp. 306–315, 2007.</w:t>
      </w:r>
    </w:p>
    <w:p>
      <w:pPr>
        <w:pStyle w:val="BodyText"/>
      </w:pPr>
      <w:r>
        <w:t xml:space="preserve">[143] R. confusionMatrix developers, confusionMatrix function - RDocumentation — rdocumentation.org. https://www.rdocumentation.org/packages/caret/versions/6.0-94/topics/confusionMatrix, 2024. [Online] . Available: https://www.rdocumentation.org/packages/caret/versions/6.0-94/topics/confusionMatrix</w:t>
      </w:r>
    </w:p>
    <w:p>
      <w:pPr>
        <w:pStyle w:val="BodyText"/>
      </w:pPr>
      <w:r>
        <w:t xml:space="preserve">[144] R. binom.test developers, binom.test function - RDocumentation — rdocumentation.org. https://www.rdocumentation.org/packages/stats/versions/3.6.2/topics/binom.test, 2024. [Online] . Available: https://www.rdocumentation.org/packages/stats/versions/3.6.2/topics/binom.test</w:t>
      </w:r>
    </w:p>
    <w:p>
      <w:pPr>
        <w:pStyle w:val="BodyText"/>
      </w:pPr>
      <w:r>
        <w:t xml:space="preserve">[145] C. J. Clopper and E. S. Pearson,</w:t>
      </w:r>
      <w:r>
        <w:t xml:space="preserve"> </w:t>
      </w:r>
      <w:r>
        <w:t xml:space="preserve">“The use of confidence or fiducial limits illustrated in the case of the binomial,”</w:t>
      </w:r>
      <w:r>
        <w:t xml:space="preserve"> </w:t>
      </w:r>
      <w:r>
        <w:t xml:space="preserve">Biometrika, vol. 26, no. 4, pp. 404–413, 1934.</w:t>
      </w:r>
    </w:p>
    <w:p>
      <w:pPr>
        <w:pStyle w:val="BodyText"/>
      </w:pPr>
      <w:r>
        <w:t xml:space="preserve">[146] W. J. Conover, Practical nonparametric statistics. Hoboken, New Jersey, U.S.: John Wiley &amp; Sons, Inc, 1999.</w:t>
      </w:r>
    </w:p>
    <w:p>
      <w:pPr>
        <w:pStyle w:val="BodyText"/>
      </w:pPr>
      <w:r>
        <w:t xml:space="preserve">[147] M. Hollander, Nonparametric statistical methods. Hoboken, New Jersey, U.S.: John Wiley &amp; Sons Inc, 2013.</w:t>
      </w:r>
    </w:p>
    <w:p>
      <w:pPr>
        <w:pStyle w:val="BodyText"/>
      </w:pPr>
      <w:r>
        <w:t xml:space="preserve">[148] D. C. Howell, Statistical methods for psychology, Seventh Edition. Belmont, California: Cengage Wadsworth, 2009.</w:t>
      </w:r>
    </w:p>
    <w:p>
      <w:pPr>
        <w:pStyle w:val="BodyText"/>
      </w:pPr>
      <w:r>
        <w:t xml:space="preserve">[149] Inc. GraphPad Software, GraphPad Prism 6 Statistics Guide - The binomial test — graphpad.com. https://www.graphpad.com/guides/prism/6/statistics/stat_binomial.htm, 2024. [Online] . Available: https://www.graphpad.com/guides/prism/6/statistics/stat_binomial.htm</w:t>
      </w:r>
    </w:p>
    <w:p>
      <w:pPr>
        <w:pStyle w:val="BodyText"/>
      </w:pPr>
      <w:r>
        <w:t xml:space="preserve">[150] M. L. McHugh,</w:t>
      </w:r>
      <w:r>
        <w:t xml:space="preserve"> </w:t>
      </w:r>
      <w:r>
        <w:t xml:space="preserve">“Interrater reliability: the kappa statistic,”</w:t>
      </w:r>
      <w:r>
        <w:t xml:space="preserve"> </w:t>
      </w:r>
      <w:r>
        <w:t xml:space="preserve">Biochemia medica, vol. 22, no. 3, pp. 276–282, 2012.</w:t>
      </w:r>
    </w:p>
    <w:p>
      <w:pPr>
        <w:pStyle w:val="BodyText"/>
      </w:pPr>
      <w:r>
        <w:t xml:space="preserve">[151] R. G. Pontius Jr and M. Millones,</w:t>
      </w:r>
      <w:r>
        <w:t xml:space="preserve"> </w:t>
      </w:r>
      <w:r>
        <w:t xml:space="preserve">“Death to Kappa: birth of quantity disagreement and allocation disagreement for accuracy assessment,”</w:t>
      </w:r>
      <w:r>
        <w:t xml:space="preserve"> </w:t>
      </w:r>
      <w:r>
        <w:t xml:space="preserve">International journal of remote sensing, vol. 32, no. 15, pp. 4407–4429, 2011.</w:t>
      </w:r>
    </w:p>
    <w:p>
      <w:pPr>
        <w:pStyle w:val="BodyText"/>
      </w:pPr>
      <w:r>
        <w:t xml:space="preserve">[152] F. Galton, Finger prints. New York, NY: Cosimo Classics, 1892.</w:t>
      </w:r>
    </w:p>
    <w:p>
      <w:pPr>
        <w:pStyle w:val="BodyText"/>
      </w:pPr>
      <w:r>
        <w:t xml:space="preserve">[153] N. C. Smeeton,</w:t>
      </w:r>
      <w:r>
        <w:t xml:space="preserve"> </w:t>
      </w:r>
      <w:r>
        <w:t xml:space="preserve">“Early history of the kappa statistic,”</w:t>
      </w:r>
      <w:r>
        <w:t xml:space="preserve"> </w:t>
      </w:r>
      <w:r>
        <w:t xml:space="preserve">Biometrics, vol. 41, p. 795, 1985.</w:t>
      </w:r>
    </w:p>
    <w:p>
      <w:pPr>
        <w:pStyle w:val="BodyText"/>
      </w:pPr>
      <w:r>
        <w:t xml:space="preserve">[154] J. Cohen,</w:t>
      </w:r>
      <w:r>
        <w:t xml:space="preserve"> </w:t>
      </w:r>
      <w:r>
        <w:t xml:space="preserve">“A coefficient of agreement for nominal scales,”</w:t>
      </w:r>
      <w:r>
        <w:t xml:space="preserve"> </w:t>
      </w:r>
      <w:r>
        <w:t xml:space="preserve">Educational and psychological measurement, vol. 20, no. 1, pp. 37–46, 1960.</w:t>
      </w:r>
    </w:p>
    <w:p>
      <w:pPr>
        <w:pStyle w:val="BodyText"/>
      </w:pPr>
      <w:r>
        <w:t xml:space="preserve">[155] J. Sim and C. C. Wright,</w:t>
      </w:r>
      <w:r>
        <w:t xml:space="preserve"> </w:t>
      </w:r>
      <w:r>
        <w:t xml:space="preserve">“The kappa statistic in reliability studies: use, interpretation, and sample size requirements,”</w:t>
      </w:r>
      <w:r>
        <w:t xml:space="preserve"> </w:t>
      </w:r>
      <w:r>
        <w:t xml:space="preserve">Physical therapy, vol. 85, no. 3, pp. 257–268, 2005.</w:t>
      </w:r>
    </w:p>
    <w:p>
      <w:pPr>
        <w:pStyle w:val="BodyText"/>
      </w:pPr>
      <w:r>
        <w:t xml:space="preserve">[156] D. Chicco, M. J. Warrens, and G. Jurman,</w:t>
      </w:r>
      <w:r>
        <w:t xml:space="preserve"> </w:t>
      </w:r>
      <w:r>
        <w:t xml:space="preserve">“The Matthews correlation coefficient (MCC) is more informative than Cohen’s Kappa and Brier score in binary classification assessment,”</w:t>
      </w:r>
      <w:r>
        <w:t xml:space="preserve"> </w:t>
      </w:r>
      <w:r>
        <w:t xml:space="preserve">IEEE Access, vol. 9, pp. 78368–78381, 2021.</w:t>
      </w:r>
    </w:p>
    <w:p>
      <w:pPr>
        <w:pStyle w:val="BodyText"/>
      </w:pPr>
      <w:r>
        <w:t xml:space="preserve">[157] P. Heidke,</w:t>
      </w:r>
      <w:r>
        <w:t xml:space="preserve"> </w:t>
      </w:r>
      <w:r>
        <w:t xml:space="preserve">“Berechnung des Erfolges und der Güte der Windstärkevorhersagen im Sturmwarnungsdienst,”</w:t>
      </w:r>
      <w:r>
        <w:t xml:space="preserve"> </w:t>
      </w:r>
      <w:r>
        <w:t xml:space="preserve">Geografiska Annaler, vol. 8, no. 4, pp. 301–349, 1926.</w:t>
      </w:r>
    </w:p>
    <w:p>
      <w:pPr>
        <w:pStyle w:val="BodyText"/>
      </w:pPr>
      <w:r>
        <w:t xml:space="preserve">[158] T. P. S. of W. D.C., Bulletin of the Philosophical Society of Washington, D.C., vol. 10. Washington, D.C., USA: The co-operation of the Smithsonian Institution, 1887, p. 83.</w:t>
      </w:r>
    </w:p>
    <w:p>
      <w:pPr>
        <w:pStyle w:val="BodyText"/>
      </w:pPr>
      <w:r>
        <w:t xml:space="preserve">[159] R. system.time developers, system.time function - RDocumentation — rdocumentation.org. https://www.rdocumentation.org/packages/base/versions/3.6.2/topics/system.time, 2024. [Online] . Available: https://www.rdocumentation.org/packages/base/versions/3.6.2/topics/system.time</w:t>
      </w:r>
    </w:p>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2024-10-15T14:37:05Z</dcterms:created>
  <dcterms:modified xsi:type="dcterms:W3CDTF">2024-10-15T14:37:05Z</dcterms:modified>
</cp:coreProperties>
</file>

<file path=docProps/custom.xml><?xml version="1.0" encoding="utf-8"?>
<Properties xmlns="http://schemas.openxmlformats.org/officeDocument/2006/custom-properties" xmlns:vt="http://schemas.openxmlformats.org/officeDocument/2006/docPropsVTypes"/>
</file>