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has appeared fundamental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Earth’s ionosphere, a part of the Earth’s atmosphere stretching from 50 km to 2000 km above the Earth’s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 GNSS PNT performance coupling model</w:t>
      </w:r>
      <w:r>
        <w:t xml:space="preserve"> </w:t>
      </w:r>
      <w:r>
        <w:t xml:space="preserve">, as depicted in Table </w:t>
      </w:r>
      <w:hyperlink w:anchor="Xcd98f75463a4f9443cea1890b285c3eb94af900">
        <w:r>
          <w:rPr>
            <w:rStyle w:val="Hyperlink"/>
          </w:rPr>
          <w:t xml:space="preserve">1</w:t>
        </w:r>
      </w:hyperlink>
    </w:p>
    <w:bookmarkStart w:id="20" w:name="Xcd98f75463a4f9443cea1890b285c3eb94af900"/>
    <w:p>
      <w:pPr>
        <w:pStyle w:val="TableCaption"/>
      </w:pPr>
      <w:r>
        <w:t xml:space="preserve">The Space weather – GNSS PNT performance coupling model, after</w:t>
      </w:r>
      <w:r>
        <w:t xml:space="preserve"> </w:t>
      </w:r>
      <w:r>
        <w:t xml:space="preserve">.</w:t>
      </w:r>
    </w:p>
    <w:tbl>
      <w:tblPr>
        <w:tblStyle w:val="Table"/>
        <w:tblW w:type="auto" w:w="0"/>
        <w:tblLook w:firstRow="0" w:lastRow="0" w:firstColumn="0" w:lastColumn="0" w:noHBand="0" w:noVBand="0" w:val="0000"/>
        <w:tblCaption w:val="The Space weather – GNSS PNT performance coupling model, after ."/>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unit’s (GNSS receiver’s) aerial</w:t>
      </w:r>
      <w:r>
        <w:t xml:space="preserve"> </w:t>
      </w:r>
      <w:r>
        <w:t xml:space="preserve">.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 GNSS PNT performance coupling model</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attempts to solve the problem of GNSS PNT sustainable performance in various ionospheric conditions</w:t>
      </w:r>
      <w:r>
        <w:t xml:space="preserve"> </w:t>
      </w:r>
      <w:r>
        <w:t xml:space="preserve">. In recent developments, our team has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w:t>
      </w:r>
      <w:r>
        <w:t xml:space="preserve"> </w:t>
      </w:r>
      <w:r>
        <w:t xml:space="preserve">. Previous research has identified predictors and target variables (descriptors of geomagnetic, ionospheric, and GNSS PNT conditions)</w:t>
      </w:r>
      <w:r>
        <w:t xml:space="preserve"> </w:t>
      </w:r>
      <w:r>
        <w:t xml:space="preserve">.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r>
        <w:t xml:space="preserve"> </w:t>
      </w:r>
      <w:r>
        <w:t xml:space="preserve">.</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w:t>
      </w:r>
      <w:r>
        <w:t xml:space="preserve"> </w:t>
      </w:r>
      <w:r>
        <w:t xml:space="preserve"> </w:t>
      </w:r>
      <w:r>
        <w:t xml:space="preserve">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applies support vector statistics to unlabeled data in unsupervised learning to find new natural groupings. Meyer, Leisch, and Hornik compared SVM with other classifiers</w:t>
      </w:r>
      <w:r>
        <w:t xml:space="preserve"> </w:t>
      </w:r>
      <w:r>
        <w:t xml:space="preserve">,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w:t>
      </w:r>
      <w:r>
        <w:t xml:space="preserve"> </w:t>
      </w:r>
      <w:r>
        <w:t xml:space="preserve">. Intuitively, a good separation is achieved by the hyperplane with the greatest distance to the nearest point in the training data belonging to any class</w:t>
      </w:r>
      <w:r>
        <w:t xml:space="preserve"> </w:t>
      </w:r>
      <w:r>
        <w:t xml:space="preserve">.</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w:t>
      </w:r>
      <w:r>
        <w:t xml:space="preserve"> </w:t>
      </w:r>
      <w:r>
        <w:t xml:space="preserve">. A multidimensional feature space increases the generalization error of Support Vector Machines, so additional samples are needed to enhance performance</w:t>
      </w:r>
      <w:r>
        <w:t xml:space="preserve"> </w:t>
      </w:r>
      <w:r>
        <w:t xml:space="preserve">.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w:t>
      </w:r>
      <w:r>
        <w:t xml:space="preserve"> </w:t>
      </w:r>
      <w:r>
        <w:t xml:space="preserv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and segmentation can also be performed using SVM models, including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w:t>
      </w:r>
      <w:r>
        <w:t xml:space="preserve"> </w:t>
      </w:r>
      <w:r>
        <w:t xml:space="preserve">.</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w:t>
      </w:r>
      <w:r>
        <w:t xml:space="preserve"> </w:t>
      </w:r>
      <w:r>
        <w:t xml:space="preserve">. Decision Trees are among the most popular machine learning algorithms due to their comprehensibility and simplicity</w:t>
      </w:r>
      <w:r>
        <w:t xml:space="preserve"> </w:t>
      </w:r>
      <w:r>
        <w:t xml:space="preserve">. A Decision Tree describes the input data and the resulting classification tree can be the input for decision-making in data mining</w:t>
      </w:r>
      <w:r>
        <w:t xml:space="preserve"> </w:t>
      </w:r>
      <w:r>
        <w:t xml:space="preserve">.</w:t>
      </w:r>
    </w:p>
    <w:p>
      <w:pPr>
        <w:pStyle w:val="BodyText"/>
      </w:pPr>
      <w:r>
        <w:t xml:space="preserve">A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w:t>
      </w:r>
      <w:r>
        <w:t xml:space="preserve"> </w:t>
      </w:r>
      <w:r>
        <w:t xml:space="preserve">, can significantly increase the accuracy of the classifier</w:t>
      </w:r>
      <w:r>
        <w:t xml:space="preserve"> </w:t>
      </w:r>
      <w:r>
        <w:t xml:space="preserve">.</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w:t>
      </w:r>
      <w:r>
        <w:t xml:space="preserve"> </w:t>
      </w:r>
      <w:r>
        <w:t xml:space="preserve">. Gradient-based methods such as backpropagation are usually used to estimate network parameters</w:t>
      </w:r>
      <w:r>
        <w:t xml:space="preserve"> </w:t>
      </w:r>
      <w:r>
        <w:t xml:space="preserve">. During the training phase, ANNs learn from labeled training data by iteratively updating their parameters to minimize a defined loss function</w:t>
      </w:r>
      <w:r>
        <w:t xml:space="preserve"> </w:t>
      </w:r>
      <w:r>
        <w:t xml:space="preserve">.</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required parameters for model training based on a book by Liu</w:t>
      </w:r>
      <w:r>
        <w:t xml:space="preserve"> </w:t>
      </w:r>
      <w:r>
        <w:t xml:space="preserve">.</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w:t>
      </w:r>
      <w:r>
        <w:t xml:space="preserve"> </w:t>
      </w:r>
      <w:r>
        <w:t xml:space="preserve">. Many versions of PLS exist for estimating the factor and loading matrices, such as the PLS1 algorithm</w:t>
      </w:r>
      <w:r>
        <w:t xml:space="preserve"> </w:t>
      </w:r>
      <w:r>
        <w:t xml:space="preserve">.</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The results of LDA may be utilized directly or to reduce dimensionality before classification, which is more often used</w:t>
      </w:r>
      <w:r>
        <w:t xml:space="preserve"> </w:t>
      </w:r>
      <w:r>
        <w:t xml:space="preserve">. LDA finds a linear combination of features or measurements differentiating two or more sample classes</w:t>
      </w:r>
      <w:r>
        <w:t xml:space="preserve"> </w:t>
      </w:r>
      <w:r>
        <w:t xml:space="preserve">. Discriminant analysis has continuous independent variables and a categorical dependent variable representing the groups</w:t>
      </w:r>
      <w:r>
        <w:t xml:space="preserve"> </w:t>
      </w:r>
      <w:r>
        <w:t xml:space="preserve">.</w:t>
      </w:r>
    </w:p>
    <w:p>
      <w:pPr>
        <w:pStyle w:val="BodyText"/>
      </w:pPr>
      <w:r>
        <w:t xml:space="preserve">LDA is closely related to PCA and factor analysis since they identify linear functions of multiple variables that fit the input with the smallest error</w:t>
      </w:r>
      <w:r>
        <w:t xml:space="preserve"> </w:t>
      </w:r>
      <w:r>
        <w:t xml:space="preserve">. Discriminant correspondence analysis</w:t>
      </w:r>
      <w:r>
        <w:t xml:space="preserve"> </w:t>
      </w:r>
      <w:r>
        <w:t xml:space="preserve"> </w:t>
      </w:r>
      <w:r>
        <w:t xml:space="preserve">is equivalent to LDA for categorical independent variables. Points in discriminant function analysis are rated based on quantitative predictors and a group measure</w:t>
      </w:r>
      <w:r>
        <w:t xml:space="preserve"> </w:t>
      </w:r>
      <w:r>
        <w:t xml:space="preserve"> </w:t>
      </w:r>
      <w:r>
        <w:t xml:space="preserve">to represent classification</w:t>
      </w:r>
      <w:r>
        <w:t xml:space="preserve"> </w:t>
      </w:r>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 A discriminant score describes how well a discriminant differentiates classes.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w:t>
      </w:r>
    </w:p>
    <w:p>
      <w:pPr>
        <w:pStyle w:val="BodyText"/>
      </w:pPr>
      <w:r>
        <w:t xml:space="preserve">Even though it is not universally accepted, some suggest eigenvalues be utilized as effect size measures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w:t>
      </w:r>
      <w:r>
        <w:t xml:space="preserve"> </w:t>
      </w:r>
      <w:r>
        <w:t xml:space="preserve">.</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Kosambi–Karhunen–Loève or Karhunen–Loève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 The significance of the principal components can be checked with parametric bootstrap for a smaller dataset to help decide how many principal components to keep</w:t>
      </w:r>
      <w:r>
        <w:t xml:space="preserve"> </w:t>
      </w:r>
      <w:r>
        <w:t xml:space="preserve">.</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w:t>
      </w:r>
      <w:r>
        <w:t xml:space="preserve"> </w:t>
      </w:r>
      <w:r>
        <w:t xml:space="preserve"> </w:t>
      </w:r>
      <w:r>
        <w:t xml:space="preserve">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6</m:t>
              </m:r>
            </m:e>
          </m:d>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w:t>
      </w:r>
      <w:r>
        <w:t xml:space="preserve"> </w:t>
      </w:r>
      <w:r>
        <w:t xml:space="preserve">.</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7</m:t>
              </m:r>
            </m:e>
          </m:d>
        </m:oMath>
      </m:oMathPara>
    </w:p>
    <w:p>
      <w:pPr>
        <w:pStyle w:val="FirstParagraph"/>
      </w:pPr>
      <w:r>
        <w:t xml:space="preserve">Appleton’s formula in Equation 8 reasonably approximates the relationship between the refraction index and the free electron density distribution</w:t>
      </w:r>
      <w:r>
        <w:t xml:space="preserve"> </w:t>
      </w:r>
      <w:r>
        <w:t xml:space="preserve">.</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r>
            <m:t> </m:t>
          </m:r>
          <m:d>
            <m:dPr>
              <m:begChr m:val="("/>
              <m:endChr m:val=")"/>
              <m:sepChr m:val=""/>
              <m:grow/>
            </m:dPr>
            <m:e>
              <m:r>
                <m:t>8</m:t>
              </m:r>
            </m:e>
          </m:d>
        </m:oMath>
      </m:oMathPara>
    </w:p>
    <w:p>
      <w:pPr>
        <w:pStyle w:val="FirstParagraph"/>
      </w:pPr>
      <w:r>
        <w:t xml:space="preserve">The combination of Equation 6 and Equation 8 yields Equation 9 that directly describes the relationship between the free electron density profile and the GPS ionospheric delay</w:t>
      </w:r>
      <w:r>
        <w:t xml:space="preserve"> </w:t>
      </w:r>
      <w:r>
        <w:t xml:space="preserve">.</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9</m:t>
              </m:r>
            </m:e>
          </m:d>
        </m:oMath>
      </m:oMathPara>
    </w:p>
    <w:p>
      <w:pPr>
        <w:pStyle w:val="FirstParagraph"/>
      </w:pPr>
      <w:r>
        <w:t xml:space="preserve">The</w:t>
      </w:r>
      <w:r>
        <w:t xml:space="preserve"> </w:t>
      </w:r>
      <m:oMath>
        <m:r>
          <m:t>T</m:t>
        </m:r>
        <m:r>
          <m:t>E</m:t>
        </m:r>
        <m:r>
          <m:t>C</m:t>
        </m:r>
      </m:oMath>
      <w:r>
        <w:t xml:space="preserve"> </w:t>
      </w:r>
      <w:r>
        <w:t xml:space="preserve"> </w:t>
      </w:r>
      <w:r>
        <w:t xml:space="preserve">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10</m:t>
              </m:r>
            </m:e>
          </m:d>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11</m:t>
              </m:r>
            </m:e>
          </m:d>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12</m:t>
              </m:r>
            </m:e>
          </m:d>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w:t>
      </w:r>
      <w:r>
        <w:t xml:space="preserve"> </w:t>
      </w:r>
      <w:r>
        <w:t xml:space="preserve">:</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r>
            <m:t> </m:t>
          </m:r>
          <m:d>
            <m:dPr>
              <m:begChr m:val="("/>
              <m:endChr m:val=")"/>
              <m:sepChr m:val=""/>
              <m:grow/>
            </m:dPr>
            <m:e>
              <m:r>
                <m:t>13</m:t>
              </m:r>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r>
            <m:t> </m:t>
          </m:r>
          <m:d>
            <m:dPr>
              <m:begChr m:val="("/>
              <m:endChr m:val=")"/>
              <m:sepChr m:val=""/>
              <m:grow/>
            </m:dPr>
            <m:e>
              <m:r>
                <m:t>14</m:t>
              </m:r>
            </m:e>
          </m:d>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w:t>
      </w:r>
      <w:r>
        <w:t xml:space="preserve"> </w:t>
      </w:r>
      <w:r>
        <w:t xml:space="preserve">. A cosine-like daily dynamic of GPS ionospheric delay values is assumed in the Klobuchar model, with the daily maximum appearing around 14:00 in local time</w:t>
      </w:r>
      <w:r>
        <w:t xml:space="preserve"> </w:t>
      </w:r>
      <w:r>
        <w:t xml:space="preserve">.</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r>
            <m:t> </m:t>
          </m:r>
          <m:d>
            <m:dPr>
              <m:begChr m:val="("/>
              <m:endChr m:val=")"/>
              <m:sepChr m:val=""/>
              <m:grow/>
            </m:dPr>
            <m:e>
              <m:r>
                <m:t>15</m:t>
              </m:r>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w:t>
      </w:r>
      <w:r>
        <w:t xml:space="preserve"> </w:t>
      </w:r>
      <w:r>
        <w:t xml:space="preserve">, so this step was also applied to the input data before training the models in this study. There are many ways to standardize data, such as minimum-maximum, normalization by decimal scaling, and Z-score</w:t>
      </w:r>
      <w:r>
        <w:t xml:space="preserve"> </w:t>
      </w:r>
      <w:r>
        <w:t xml:space="preserve">. Subtracting the mean and dividing by the variance for each feature are commonly used for Support Vector Machines (SVMs)</w:t>
      </w:r>
      <w:r>
        <w:t xml:space="preserve"> </w:t>
      </w:r>
      <w:r>
        <w:t xml:space="preserve"> </w:t>
      </w:r>
      <w:r>
        <w:t xml:space="preserve">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16</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17</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18</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19</m:t>
              </m:r>
            </m:e>
          </m:d>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20</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21</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22</m:t>
              </m:r>
            </m:e>
          </m:d>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23</m:t>
              </m:r>
            </m:e>
          </m:d>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24</m:t>
              </m:r>
            </m:e>
          </m:d>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w:t>
      </w:r>
      <w:r>
        <w:t xml:space="preserve"> </w:t>
      </w:r>
      <w:r>
        <w:t xml:space="preserve"> </w:t>
      </w:r>
      <w:r>
        <w:t xml:space="preserve">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25</m:t>
              </m:r>
            </m:e>
          </m:d>
        </m:oMath>
      </m:oMathPara>
    </w:p>
    <w:p>
      <w:pPr>
        <w:pStyle w:val="FirstParagraph"/>
      </w:pPr>
      <w:r>
        <w:t xml:space="preserve">In this scenario, Cohen’s Kappa equals the Heidke skill score introduced by Myrick Haskell Doolittle in 1888</w:t>
      </w:r>
      <w:r>
        <w:t xml:space="preserve"> </w:t>
      </w:r>
      <w:r>
        <w:t xml:space="preserve">.</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2024-10-15T08:17:06Z</dcterms:created>
  <dcterms:modified xsi:type="dcterms:W3CDTF">2024-10-15T08:17:06Z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