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[tab:Space weather – GNSS PNT performance coupling model]</w:t>
        </w:r>
      </w:hyperlink>
    </w:p>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w:t>
      </w:r>
      <w:r>
        <w:t xml:space="preserve"> </w:t>
      </w:r>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4,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4</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5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5</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6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6</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7.</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7</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8.</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8</m:t>
              </m:r>
            </m:e>
          </m:d>
        </m:oMath>
      </m:oMathPara>
    </w:p>
    <w:p>
      <w:pPr>
        <w:pStyle w:val="FirstParagraph"/>
      </w:pPr>
      <w:r>
        <w:t xml:space="preserve">Using natural language and Bayesian probability terminology, the above equation can be written in a form presented in Equation 9.</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9</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10.</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10</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11</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11</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12.</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12</m:t>
              </m:r>
            </m:e>
          </m:d>
        </m:oMath>
      </m:oMathPara>
    </w:p>
    <w:p>
      <w:pPr>
        <w:pStyle w:val="FirstParagraph"/>
      </w:pPr>
      <w:r>
        <w:t xml:space="preserve">The proof in Equation 13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13</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14.</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14</m:t>
              </m:r>
            </m:e>
          </m:d>
        </m:oMath>
      </m:oMathPara>
    </w:p>
    <w:p>
      <w:pPr>
        <w:pStyle w:val="FirstParagraph"/>
      </w:pPr>
      <w:r>
        <w:t xml:space="preserve">The a priori probability for each class can be calculated using Equation 15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15</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16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16</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17.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17</m:t>
              </m:r>
            </m:e>
          </m:d>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w:t>
      </w:r>
      <w:r>
        <w:t xml:space="preserve"> </w:t>
      </w:r>
      <w:r>
        <w:t xml:space="preserve">.</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w:t>
      </w:r>
      <w:r>
        <w:t xml:space="preserve"> </w:t>
      </w:r>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18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18</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19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19</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20.</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20</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21,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21</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22.</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22</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23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23</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class variability is defined by the sample covariance of the class means in Equation 24 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24</m:t>
              </m:r>
            </m:e>
          </m:d>
        </m:oMath>
      </m:oMathPara>
    </w:p>
    <w:p>
      <w:pPr>
        <w:pStyle w:val="FirstParagraph"/>
      </w:pPr>
      <w:r>
        <w:t xml:space="preserve">Equation 25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25</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26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26</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27 has maximum variance, with the matrix form in Equation 28.</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27</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28</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29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29</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30.</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30</m:t>
              </m:r>
            </m:e>
          </m:d>
        </m:oMath>
      </m:oMathPara>
    </w:p>
    <w:p>
      <w:pPr>
        <w:pStyle w:val="FirstParagraph"/>
      </w:pPr>
      <w:r>
        <w:t xml:space="preserve">Equation 31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31</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32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32</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33.</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33</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34</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34</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35</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35</m:t>
              </m:r>
            </m:e>
          </m:d>
        </m:oMath>
      </m:oMathPara>
    </w:p>
    <w:p>
      <w:pPr>
        <w:pStyle w:val="FirstParagraph"/>
      </w:pPr>
      <w:r>
        <w:t xml:space="preserve">Appleton’s formula in Equation 36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36</m:t>
              </m:r>
            </m:e>
          </m:d>
        </m:oMath>
      </m:oMathPara>
    </w:p>
    <w:p>
      <w:pPr>
        <w:pStyle w:val="FirstParagraph"/>
      </w:pPr>
      <w:r>
        <w:t xml:space="preserve">The combination of Equation 34 and Equation 36 yields Equation 37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37</m:t>
              </m:r>
            </m:e>
          </m:d>
        </m:oMath>
      </m:oMathPara>
    </w:p>
    <w:p>
      <w:pPr>
        <w:pStyle w:val="FirstParagraph"/>
      </w:pPr>
      <w:r>
        <w:t xml:space="preserve">The</w:t>
      </w:r>
      <w:r>
        <w:t xml:space="preserve"> </w:t>
      </w:r>
      <m:oMath>
        <m:r>
          <m:t>T</m:t>
        </m:r>
        <m:r>
          <m:t>E</m:t>
        </m:r>
        <m:r>
          <m:t>C</m:t>
        </m:r>
      </m:oMath>
      <w:r>
        <w:t xml:space="preserve"> </w:t>
      </w:r>
      <w:r>
        <w:t xml:space="preserve"> </w:t>
      </w:r>
      <w:r>
        <w:t xml:space="preserve">in Equation 38 is calculated using the integral on the right side of Equation 37.</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38</m:t>
              </m:r>
            </m:e>
          </m:d>
        </m:oMath>
      </m:oMathPara>
    </w:p>
    <w:p>
      <w:pPr>
        <w:pStyle w:val="FirstParagraph"/>
      </w:pPr>
      <w:r>
        <w:t xml:space="preserve">Using equation Equation 38, Equation 37 can be written as shown in Equation 39.</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39</m:t>
              </m:r>
            </m:e>
          </m:d>
        </m:oMath>
      </m:oMathPara>
    </w:p>
    <w:p>
      <w:pPr>
        <w:pStyle w:val="FirstParagraph"/>
      </w:pPr>
      <w:r>
        <w:t xml:space="preserve">Following the same analogy, the equivalent GPS ionospheric delay is calculated in Equation 40.</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40</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40, the relation between the</w:t>
      </w:r>
      <w:r>
        <w:t xml:space="preserve"> </w:t>
      </w:r>
      <m:oMath>
        <m:r>
          <m:t>T</m:t>
        </m:r>
        <m:r>
          <m:t>E</m:t>
        </m:r>
        <m:r>
          <m:t>C</m:t>
        </m:r>
      </m:oMath>
      <w:r>
        <w:t xml:space="preserve"> </w:t>
      </w:r>
      <w:r>
        <w:t xml:space="preserve">and GPS pseudo-range measurements can be established in Equation 41</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41</m:t>
              </m:r>
            </m:e>
          </m:d>
        </m:oMath>
      </m:oMathPara>
    </w:p>
    <w:p>
      <w:pPr>
        <w:pStyle w:val="FirstParagraph"/>
      </w:pPr>
      <w:r>
        <w:t xml:space="preserve">Equation 41 can be rewritten as in Equation 42,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42.</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42</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43</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43</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44.</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44</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45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45</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46 denotes all such events. Equation 47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46</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47</m:t>
              </m:r>
            </m:e>
          </m:d>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48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48</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49 is derived from the construction in Equation 50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49</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50</m:t>
              </m:r>
            </m:e>
          </m:d>
        </m:oMath>
      </m:oMathPara>
    </w:p>
    <w:p>
      <w:pPr>
        <w:pStyle w:val="FirstParagraph"/>
      </w:pPr>
      <w:r>
        <w:t xml:space="preserve">If ratings are independent Equation 51,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51</m:t>
              </m:r>
            </m:e>
          </m:d>
        </m:oMath>
      </m:oMathPara>
    </w:p>
    <w:p>
      <w:pPr>
        <w:pStyle w:val="FirstParagraph"/>
      </w:pPr>
      <w:r>
        <w:t xml:space="preserve">Equation 52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52</m:t>
              </m:r>
            </m:e>
          </m:d>
        </m:oMath>
      </m:oMathPara>
    </w:p>
    <w:p>
      <w:pPr>
        <w:pStyle w:val="FirstParagraph"/>
      </w:pPr>
      <w:r>
        <w:t xml:space="preserve">(and similarly for rater</w:t>
      </w:r>
      <w:r>
        <w:t xml:space="preserve"> </w:t>
      </w:r>
      <m:oMath>
        <m:r>
          <m:t>2</m:t>
        </m:r>
      </m:oMath>
      <w:r>
        <w:t xml:space="preserve">).</w:t>
      </w:r>
    </w:p>
    <w:p>
      <w:pPr>
        <w:pStyle w:val="BodyText"/>
      </w:pPr>
      <w:r>
        <w:t xml:space="preserve">Equation 53 contains the Cohen’s Kappa formula</w:t>
      </w:r>
      <w:r>
        <w:t xml:space="preserve"> </w:t>
      </w:r>
      <w:r>
        <w:t xml:space="preserve"> </w:t>
      </w:r>
      <w:r>
        <w:t xml:space="preserve">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53</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2024-10-08T10:28:24Z</dcterms:created>
  <dcterms:modified xsi:type="dcterms:W3CDTF">2024-10-08T10:28:24Z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y fmtid="{D5CDD505-2E9C-101B-9397-08002B2CF9AE}" pid="3" name="bibliography">
    <vt:lpwstr/>
  </property>
</Properties>
</file>