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C90F3" w14:textId="77777777" w:rsidR="001223AC" w:rsidRDefault="00000000">
      <w:pPr>
        <w:pStyle w:val="Heading1"/>
      </w:pPr>
      <w:bookmarkStart w:id="0" w:name="X7100f6eee21da8b42c88f803827e904b56e32df"/>
      <w:r>
        <w:t>Monitoring, Reporting and Verification procedures for soil health: Current landscape, stakeholder dynamics and future pathways</w:t>
      </w:r>
    </w:p>
    <w:p w14:paraId="7381940A" w14:textId="77777777" w:rsidR="001223AC" w:rsidRDefault="00000000">
      <w:r>
        <w:t>Authors: Camille Imbert</w:t>
      </w:r>
      <w:r>
        <w:rPr>
          <w:vertAlign w:val="superscript"/>
        </w:rPr>
        <w:t>1</w:t>
      </w:r>
      <w:r>
        <w:t>, Antonio Bispo</w:t>
      </w:r>
      <w:r>
        <w:rPr>
          <w:vertAlign w:val="superscript"/>
        </w:rPr>
        <w:t>2</w:t>
      </w:r>
      <w:r>
        <w:t>, Sophia Götzinger</w:t>
      </w:r>
      <w:r>
        <w:rPr>
          <w:vertAlign w:val="superscript"/>
        </w:rPr>
        <w:t>3</w:t>
      </w:r>
      <w:r>
        <w:t>, Peter Hoebe</w:t>
      </w:r>
      <w:r>
        <w:rPr>
          <w:vertAlign w:val="superscript"/>
        </w:rPr>
        <w:t>4</w:t>
      </w:r>
      <w:r>
        <w:t>, Taru Sandén</w:t>
      </w:r>
      <w:r>
        <w:rPr>
          <w:vertAlign w:val="superscript"/>
        </w:rPr>
        <w:t>3</w:t>
      </w:r>
      <w:r>
        <w:t>, Sambit Shome</w:t>
      </w:r>
      <w:r>
        <w:rPr>
          <w:vertAlign w:val="superscript"/>
        </w:rPr>
        <w:t>1</w:t>
      </w:r>
      <w:r>
        <w:t>, Lucile Rabeau</w:t>
      </w:r>
      <w:r>
        <w:rPr>
          <w:vertAlign w:val="superscript"/>
        </w:rPr>
        <w:t>5</w:t>
      </w:r>
      <w:r>
        <w:t xml:space="preserve"> and Kilian Walz</w:t>
      </w:r>
      <w:r>
        <w:rPr>
          <w:vertAlign w:val="superscript"/>
        </w:rPr>
        <w:t>6</w:t>
      </w:r>
    </w:p>
    <w:p w14:paraId="4D1934B3" w14:textId="77777777" w:rsidR="001223AC" w:rsidRDefault="00000000">
      <w:r>
        <w:t>Affiliations:</w:t>
      </w:r>
    </w:p>
    <w:p w14:paraId="5B07949D" w14:textId="77777777" w:rsidR="001223AC" w:rsidRDefault="00000000">
      <w:r>
        <w:rPr>
          <w:vertAlign w:val="superscript"/>
        </w:rPr>
        <w:t>1</w:t>
      </w:r>
      <w:r>
        <w:t xml:space="preserve">Leibniz-Centre for Agricultural Landscape Research (ZALF), </w:t>
      </w:r>
      <w:proofErr w:type="spellStart"/>
      <w:r>
        <w:t>Eberswalder</w:t>
      </w:r>
      <w:proofErr w:type="spellEnd"/>
      <w:r>
        <w:t xml:space="preserve"> Str. 84, D-15384 </w:t>
      </w:r>
      <w:proofErr w:type="spellStart"/>
      <w:r>
        <w:t>Müncheberg</w:t>
      </w:r>
      <w:proofErr w:type="spellEnd"/>
      <w:r>
        <w:t>, Germany</w:t>
      </w:r>
    </w:p>
    <w:p w14:paraId="4CDD1FDB" w14:textId="77777777" w:rsidR="001223AC" w:rsidRDefault="00000000">
      <w:r>
        <w:rPr>
          <w:vertAlign w:val="superscript"/>
        </w:rPr>
        <w:t>2</w:t>
      </w:r>
      <w:r>
        <w:t xml:space="preserve">INRAE </w:t>
      </w:r>
      <w:proofErr w:type="spellStart"/>
      <w:r>
        <w:t>Info&amp;Sols</w:t>
      </w:r>
      <w:proofErr w:type="spellEnd"/>
      <w:r>
        <w:t xml:space="preserve">, 2163, avenue de la Pomme de Pin, CS 40001 Ardon, 45075 Orléans </w:t>
      </w:r>
      <w:proofErr w:type="spellStart"/>
      <w:r>
        <w:t>cedex</w:t>
      </w:r>
      <w:proofErr w:type="spellEnd"/>
      <w:r>
        <w:t xml:space="preserve"> 2, France</w:t>
      </w:r>
    </w:p>
    <w:p w14:paraId="5A1BDFB6" w14:textId="77777777" w:rsidR="001223AC" w:rsidRDefault="00000000">
      <w:r>
        <w:rPr>
          <w:vertAlign w:val="superscript"/>
        </w:rPr>
        <w:t>3</w:t>
      </w:r>
      <w:r>
        <w:t xml:space="preserve">Austrian Agency for Health and Food Safety – AGES, Institute for Sustainable Plant Production, Department for Soil Health and Plant Nutrition, </w:t>
      </w:r>
      <w:proofErr w:type="spellStart"/>
      <w:r>
        <w:t>Spargelfeldstraße</w:t>
      </w:r>
      <w:proofErr w:type="spellEnd"/>
      <w:r>
        <w:t xml:space="preserve"> 191, A-1220 Wien, Austria</w:t>
      </w:r>
    </w:p>
    <w:p w14:paraId="7A622A12" w14:textId="77777777" w:rsidR="001223AC" w:rsidRDefault="00000000">
      <w:r>
        <w:rPr>
          <w:vertAlign w:val="superscript"/>
        </w:rPr>
        <w:t>4</w:t>
      </w:r>
      <w:r>
        <w:t>Earthwatch Europe, 102-104 St Aldates, Oxford, OX1 1BT, United Kingdom</w:t>
      </w:r>
    </w:p>
    <w:p w14:paraId="22F4F664" w14:textId="77777777" w:rsidR="001223AC" w:rsidRDefault="00000000">
      <w:r>
        <w:rPr>
          <w:vertAlign w:val="superscript"/>
        </w:rPr>
        <w:t>5</w:t>
      </w:r>
      <w:r>
        <w:t>Independent researcher, Paris, France</w:t>
      </w:r>
    </w:p>
    <w:p w14:paraId="2A9D2BED" w14:textId="77777777" w:rsidR="001223AC" w:rsidRDefault="00000000">
      <w:r>
        <w:rPr>
          <w:vertAlign w:val="superscript"/>
        </w:rPr>
        <w:t>6</w:t>
      </w:r>
      <w:r>
        <w:t xml:space="preserve"> </w:t>
      </w:r>
      <w:proofErr w:type="spellStart"/>
      <w:r>
        <w:t>Commonland</w:t>
      </w:r>
      <w:proofErr w:type="spellEnd"/>
      <w:r>
        <w:t xml:space="preserve"> </w:t>
      </w:r>
      <w:proofErr w:type="spellStart"/>
      <w:r>
        <w:t>Foundation,Kraanspoor</w:t>
      </w:r>
      <w:proofErr w:type="spellEnd"/>
      <w:r>
        <w:t xml:space="preserve"> 26, 1033 SE Amsterdam, Netherlands</w:t>
      </w:r>
    </w:p>
    <w:p w14:paraId="6AAAF584" w14:textId="77777777" w:rsidR="001223AC" w:rsidRDefault="00000000">
      <w:r>
        <w:t>Keywords: Monitoring Reporting Verification (MRV), Soil health, Carbon market, Literature review, Web scrapping, Artificial Intelligence browser, Transparency, Monitoring accuracy</w:t>
      </w:r>
    </w:p>
    <w:p w14:paraId="3B99C1AA" w14:textId="77777777" w:rsidR="001223AC" w:rsidRDefault="00000000">
      <w:pPr>
        <w:pStyle w:val="Heading1"/>
      </w:pPr>
      <w:bookmarkStart w:id="1" w:name="abstract"/>
      <w:bookmarkEnd w:id="0"/>
      <w:r>
        <w:t>Abstract</w:t>
      </w:r>
    </w:p>
    <w:p w14:paraId="077E151C" w14:textId="59BF82F2" w:rsidR="001223AC" w:rsidRDefault="00000000">
      <w:r>
        <w:t>To counteract green washing, the effects of human activities on soil health should be monitored in an accurate way and results should be transparently reported and verified. It is the purpose of Monitoring, Reporting and Verification (MRV) procedures. They were studied in the context of soil carbon credits but no broader overview, including other aspects of soils, exists. The objective of this study is to fill this gap of knowledge by gathering, describing and classifying the MRV procedures including soil parameters, across the world.</w:t>
      </w:r>
      <w:r w:rsidR="00871C4F">
        <w:t xml:space="preserve"> </w:t>
      </w:r>
      <w:r>
        <w:t>As the term MRV seems to be not very used by scientists, we combined three methodologies to collect information about MRV procedures: the classical use of scientific article database, web scraping and Artificial Intelligence browsers. We found 96 MRV procedures and partial information was available. Most of the available MRV procedures were applied on a local scale, in agriculture areas, answering the need of voluntary carbon markets. Results were mainly gathered in a classical report and result-based verified. We classified the MRV procedures into six groups. Our study illustrate</w:t>
      </w:r>
      <w:r w:rsidR="00871C4F">
        <w:t>d</w:t>
      </w:r>
      <w:r>
        <w:t xml:space="preserve"> the hegemony of carbon market in the MRV context. They were well distinct: the largest group focused on agriculture with farmers and consultants, adopt a large variety of monitoring methodologies, report the results on an online platform and the verification is result-based. The second largest group targeted consultants and is based on modelling. The verification is action-based. The other groups were very small and specific: </w:t>
      </w:r>
      <w:r w:rsidR="00871C4F">
        <w:t>one</w:t>
      </w:r>
      <w:r>
        <w:t xml:space="preserve"> was focused on the effect of grazing rate and </w:t>
      </w:r>
      <w:r w:rsidR="00871C4F">
        <w:t>the other</w:t>
      </w:r>
      <w:r>
        <w:t xml:space="preserve"> on peatland and wetland restoration. </w:t>
      </w:r>
      <w:r w:rsidR="00871C4F">
        <w:t>The last group</w:t>
      </w:r>
      <w:r>
        <w:t xml:space="preserve"> was characterized by the absence of information regarding stakeholder occupation.</w:t>
      </w:r>
      <w:r w:rsidR="00871C4F">
        <w:t xml:space="preserve"> </w:t>
      </w:r>
      <w:r>
        <w:t xml:space="preserve">We also highlighted the lack of transparency from companies offering MRV procedures. </w:t>
      </w:r>
      <w:r w:rsidR="00871C4F">
        <w:t>In complement, w</w:t>
      </w:r>
      <w:r>
        <w:t>e develop</w:t>
      </w:r>
      <w:r w:rsidR="00871C4F">
        <w:t>ed</w:t>
      </w:r>
      <w:r>
        <w:t xml:space="preserve"> a decision tool to help future users of MRV procedures to navigate in our dataset and select the </w:t>
      </w:r>
      <w:r>
        <w:lastRenderedPageBreak/>
        <w:t>adequate MRV procedure, adapted to their context. The next step is to understand how to pass from a carbon-focused MRV procedure to a broader one, assessing soil health.</w:t>
      </w:r>
    </w:p>
    <w:p w14:paraId="0AFC7F75" w14:textId="77777777" w:rsidR="001223AC" w:rsidRDefault="00000000">
      <w:pPr>
        <w:pStyle w:val="Heading1"/>
      </w:pPr>
      <w:bookmarkStart w:id="2" w:name="introduction"/>
      <w:bookmarkEnd w:id="1"/>
      <w:r>
        <w:t>1. Introduction</w:t>
      </w:r>
    </w:p>
    <w:p w14:paraId="3EF51DB5" w14:textId="60069A14" w:rsidR="001223AC" w:rsidRDefault="00000000">
      <w:r>
        <w:t xml:space="preserve">Numerous solutions to preserve or restore soil health are applied by stakeholders such as adopting </w:t>
      </w:r>
      <w:proofErr w:type="spellStart"/>
      <w:r>
        <w:t>agro</w:t>
      </w:r>
      <w:proofErr w:type="spellEnd"/>
      <w:r>
        <w:t xml:space="preserve">-ecological practices, de-sealing or planting trees </w:t>
      </w:r>
      <w:r w:rsidR="00462655">
        <w:fldChar w:fldCharType="begin"/>
      </w:r>
      <w:r w:rsidR="00462655">
        <w:instrText xml:space="preserve"> ADDIN ZOTERO_ITEM CSL_CITATION {"citationID":"GhAPlD6b","properties":{"formattedCitation":"(Altieri et al., 2015; B\\uc0\\u225{}rcena et al., 2014; Vieillard et al., 2024)","plainCitation":"(Altieri et al., 2015; Bárcena et al., 2014; Vieillard et al., 2024)","noteIndex":0},"citationItems":[{"id":2872,"uris":["http://zotero.org/users/12055122/items/GRA7VUH4"],"itemData":{"id":2872,"type":"article-journal","container-title":"Agronomy for Sustainable Development","DOI":"10.1007/s13593-015-0285-2","ISSN":"1774-0746, 1773-0155","issue":"3","journalAbbreviation":"Agron. Sustain. Dev.","language":"en","page":"869-890","source":"DOI.org (Crossref)","title":"Agroecology and the design of climate change-resilient farming systems","volume":"35","author":[{"family":"Altieri","given":"Miguel A."},{"family":"Nicholls","given":"Clara I."},{"family":"Henao","given":"Alejandro"},{"family":"Lana","given":"Marcos A."}],"issued":{"date-parts":[["2015",7]]}}},{"id":2869,"uris":["http://zotero.org/users/12055122/items/MPU9DQHA"],"itemData":{"id":2869,"type":"article-journal","abstract":"Abstract\n            \n              Northern Europe supports large soil organic carbon (\n              SOC\n              ) pools and has been subjected to high frequency of land‐use changes during the past decades. However, this region has not been well represented in previous large‐scale syntheses of land‐use change effects on\n              SOC\n              , especially regarding effects of afforestation. Therefore, we conducted a meta‐analysis of\n              SOC\n              stock change following afforestation in Northern Europe. Response ratios were calculated for forest floors and mineral soils (0–10 cm and 0–20/30 cm layers) based on paired control (former land use) and afforested plots. We analyzed the influence of forest age, former land‐use, forest type, and soil textural class. Three major improvements were incorporated in the meta‐analysis: analysis of major interaction groups, evaluation of the influence of nonindependence between samples according to study design, and mass correction. Former land use was a major factor contributing to changes in\n              SOC\n              after afforestation. In former croplands,\n              SOC\n              change differed between soil layers and was significantly positive (20%) in the 0–10 cm layer. Afforestation of former grasslands had a small negative (nonsignificant) effect indicating limited\n              SOC\n              change following this land‐use change within the region. Forest floors enhanced the positive effects of afforestation on\n              SOC\n              , especially with conifers. Meta‐estimates calculated for the periods &lt;30 years and &gt;30 years since afforestation revealed a shift from initial loss to later gain of\n              SOC\n              . The interaction group analysis indicated that meta‐estimates in former land‐use, forest type, and soil textural class alone were either offset or enhanced when confounding effects among variable classes were considered. Furthermore, effect sizes were slightly overestimated if sample dependence was not accounted for and if no mass correction was performed. We conclude that significant\n              SOC\n              sequestration in Northern Europe occurs after afforestation of croplands and not grasslands, and changes are small within a 30‐year perspective.","container-title":"Global Change Biology","DOI":"10.1111/gcb.12576","ISSN":"1354-1013, 1365-2486","issue":"8","journalAbbreviation":"Global Change Biology","language":"en","license":"http://onlinelibrary.wiley.com/termsAndConditions#vor","page":"2393-2405","source":"DOI.org (Crossref)","title":"Soil carbon stock change following afforestation in Northern Europe: a meta‐analysis","title-short":"Soil carbon stock change following afforestation in Northern Europe","volume":"20","author":[{"family":"Bárcena","given":"T. G."},{"family":"Kiær","given":"L. P."},{"family":"Vesterdal","given":"L."},{"family":"Stefánsdóttir","given":"H. M."},{"family":"Gundersen","given":"P."},{"family":"Sigurdsson","given":"B. D."}],"issued":{"date-parts":[["2014",8]]}}},{"id":2870,"uris":["http://zotero.org/users/12055122/items/MVRFNUCD"],"itemData":{"id":2870,"type":"article-journal","container-title":"Geoderma Regional","DOI":"10.1016/j.geodrs.2024.e00854","ISSN":"23520094","journalAbbreviation":"Geoderma Regional","language":"en","page":"e00854","source":"DOI.org (Crossref)","title":"Impacts of soil de-sealing practices on urban land-uses, soil functions and ecosystem services in French cities","volume":"38","author":[{"family":"Vieillard","given":"Claire"},{"family":"Vidal-Beaudet","given":"Laure"},{"family":"Dagois","given":"Robin"},{"family":"Lothode","given":"Maïwenn"},{"family":"Vadepied","given":"François"},{"family":"Gontier","given":"Mathieu"},{"family":"Schwartz","given":"Christophe"},{"family":"Ouvrard","given":"Stéphanie"}],"issued":{"date-parts":[["2024",9]]}}}],"schema":"https://github.com/citation-style-language/schema/raw/master/csl-citation.json"} </w:instrText>
      </w:r>
      <w:r w:rsidR="00462655">
        <w:fldChar w:fldCharType="separate"/>
      </w:r>
      <w:r w:rsidR="00462655" w:rsidRPr="00462655">
        <w:t>(Altieri et al., 2015; Bárcena et al., 2014; Vieillard et al., 2024)</w:t>
      </w:r>
      <w:r w:rsidR="00462655">
        <w:fldChar w:fldCharType="end"/>
      </w:r>
      <w:r>
        <w:t>.</w:t>
      </w:r>
      <w:r w:rsidR="00871C4F">
        <w:t xml:space="preserve"> </w:t>
      </w:r>
      <w:r>
        <w:t xml:space="preserve">Healthy soils correspond to soils that are in good chemical, biological, and physical conditions, and which can therefore provide ecosystem services vital to human and the environment, such as a safe, nutritious and sufficient food, biomass, clean water, nutrient cycling, carbon storage, and a habitat for biodiversity </w:t>
      </w:r>
      <w:r w:rsidR="00462655">
        <w:fldChar w:fldCharType="begin"/>
      </w:r>
      <w:r w:rsidR="00462655">
        <w:instrText xml:space="preserve"> ADDIN ZOTERO_ITEM CSL_CITATION {"citationID":"PmHyaz7r","properties":{"formattedCitation":"(Directorate-General for Environment, 2025; Vazquez, et al., 2025)","plainCitation":"(Directorate-General for Environment, 2025; Vazquez, et al., 2025)","noteIndex":0},"citationItems":[{"id":40,"uris":["http://zotero.org/users/12055122/items/ZMECPVE3"],"itemData":{"id":40,"type":"document","publisher":"PE/47/2025/INIT , OJ L, 2025/2360","title":"Directive (EU) 2025/2360 of the European Parliament and of the  Council of 12 November 2025 on soil monitoring and resilience (Soil Monitoring Law)","URL":"http://data.europa.eu/eli/dir/2025/2360/oj","author":[{"family":"Directorate-General for Environment","given":""}],"issued":{"date-parts":[["2025"]]}}},{"id":3168,"uris":["http://zotero.org/users/12055122/items/J86IFF96"],"itemData":{"id":3168,"type":"chapter","abstract":"This chapter provides an overview of soil biology, health and ecosystem services. The authors present an update on previous work by integrating the chemical and physical components of soil health with that of the biologically mediated processes and further define how environmental conditions may contribute. To achieve this, four soil function cognitive models have been developed: (1) Carbon and Climate Regulation, 2) Nutrient Cycling, 3) Water Regulation and Filtration and 4) Habitat Provision for Biodiversity. The four cognitive models offer a structured way to integrate biodiversity into soil health assessments, alongside chemical, physical and environmental parameters, ensuring that biological indicators are given appropriate weight in evaluation frameworks.","container-title":"Burleigh Dodds Series in Agricultural Science","ISBN":"978-1-83545-075-8","note":"DOI: 10.19103/AS.2025.0159.01","publisher":"Burleigh Dodds Science Publishing Limited","source":"DOI.org (Crossref)","title":"Soil biology, soil health and ecosystem services: an overview","title-short":"Soil biology, soil health and ecosystem services","URL":"https://www.bdspublishing.com/webshop/open-access/soil-biology-soil-health-and-ecosystem-services-an-overview/","author":[{"family":"Vazquez,","given":"C."},{"family":"Mulder","given":"T."},{"family":"Chavez Rodriguez","given":"L."},{"family":"Lonardo","given":"F. David D. P."},{"family":"Garsia","given":"A."},{"family":"Creamer","given":"R. E."},{"family":"Bünemann","given":"E.K."},{"family":"Soinne","given":"H."},{"family":"Cheval","given":"P."},{"family":"Basile","given":"A."},{"family":"Bacq-labreuil","given":"A."},{"family":"Nordén","given":"J."},{"family":"Cunha","given":"L."},{"family":"Imbert","given":"C."},{"family":"Boix-Fayos","given":"C."}],"accessed":{"date-parts":[["2025",12,5]]},"issued":{"date-parts":[["2025",12,23]]}}}],"schema":"https://github.com/citation-style-language/schema/raw/master/csl-citation.json"} </w:instrText>
      </w:r>
      <w:r w:rsidR="00462655">
        <w:fldChar w:fldCharType="separate"/>
      </w:r>
      <w:r w:rsidR="00462655" w:rsidRPr="00462655">
        <w:t>(Directorate-General for Environment, 2025; Vazquez, et al., 2025)</w:t>
      </w:r>
      <w:r w:rsidR="00462655">
        <w:fldChar w:fldCharType="end"/>
      </w:r>
      <w:r>
        <w:t xml:space="preserve">. To create an incentive for land managers to preserve and restore soil health, few instruments are currently available. On a global level, voluntary carbon markets have been evolving as one of the major market-based instruments allowing to generate and trade credits as certified units that help to finance the adoption of more sustainable agricultural practices </w:t>
      </w:r>
      <w:r w:rsidR="00462655">
        <w:fldChar w:fldCharType="begin"/>
      </w:r>
      <w:r w:rsidR="00391A14">
        <w:instrText xml:space="preserve"> ADDIN ZOTERO_ITEM CSL_CITATION {"citationID":"ifu2CENB","properties":{"formattedCitation":"(Batjes et al., 2024; European parliament and the council of the European Union, 2024)","plainCitation":"(Batjes et al., 2024; European parliament and the council of the European Union, 2024)","noteIndex":0},"citationItems":[{"id":2839,"uris":["http://zotero.org/users/12055122/items/PBHDU6DX"],"itemData":{"id":2839,"type":"article-journal","container-title":"Carbon Management","DOI":"10.1080/17583004.2024.2410812","ISSN":"1758-3004, 1758-3012","issue":"1","journalAbbreviation":"Carbon Management","language":"en","page":"2410812","source":"DOI.org (Crossref)","title":"Towards a modular, multi-ecosystem monitoring, reporting and verification (MRV) framework for soil organic carbon stock change assessment","volume":"15","author":[{"family":"Batjes","given":"Niels H."},{"family":"Ceschia","given":"Eric"},{"family":"Heuvelink","given":"Gerard B.M."},{"family":"Demenois","given":"Julien"},{"family":"Le Maire","given":"Guerric"},{"family":"Cardinael","given":"Rémi"},{"family":"Arias-Navarro","given":"Cristina"},{"family":"Van Egmond","given":"Fenny"}],"issued":{"date-parts":[["2024",12,31]]}}},{"id":3517,"uris":["http://zotero.org/users/12055122/items/EVA7ZMR8"],"itemData":{"id":3517,"type":"report","number":"PE/92/2024/REV/1  OJ L","title":"Regulation (EU) 2024/3012 of the European Parliament and of the Council of 27 November 2024 establishing a Union certification framework for permanent carbon removals, carbon farming and carbon storage in products","URL":"http://data.europa.eu/eli/reg/2024/3012/oj","author":[{"family":"European parliament and the council of the European Union","given":""}],"issued":{"date-parts":[["2024"]]}}}],"schema":"https://github.com/citation-style-language/schema/raw/master/csl-citation.json"} </w:instrText>
      </w:r>
      <w:r w:rsidR="00462655">
        <w:fldChar w:fldCharType="separate"/>
      </w:r>
      <w:r w:rsidR="00391A14" w:rsidRPr="00391A14">
        <w:t>(Batjes et al., 2024; European parliament and the council of the European Union, 2024)</w:t>
      </w:r>
      <w:r w:rsidR="00462655">
        <w:fldChar w:fldCharType="end"/>
      </w:r>
      <w:r>
        <w:t>. A carbon credit is a certificate that represents one ton of CO2-equivalent and is the common trading unit on carbon markets (</w:t>
      </w:r>
      <w:hyperlink r:id="rId7">
        <w:r w:rsidR="001223AC">
          <w:rPr>
            <w:rStyle w:val="Hyperlink"/>
            <w:b/>
            <w:bCs/>
          </w:rPr>
          <w:t>https://www.offsetguide.org/understanding-carbon-offsets/what-is-a-carbon-offset/</w:t>
        </w:r>
      </w:hyperlink>
      <w:r>
        <w:t>). However, in several cases, carbon offsetting projects were deemed to under deliver on the expected climate mitigation outcomes leading to numerous green washing situations i.e.</w:t>
      </w:r>
      <w:r w:rsidR="00871C4F">
        <w:t xml:space="preserve"> </w:t>
      </w:r>
      <w:r>
        <w:t xml:space="preserve">when actions to preserve environment (as mitigating climate change) do not attain what the stakeholder claims </w:t>
      </w:r>
      <w:r w:rsidR="00391A14">
        <w:fldChar w:fldCharType="begin"/>
      </w:r>
      <w:r w:rsidR="00391A14">
        <w:instrText xml:space="preserve"> ADDIN ZOTERO_ITEM CSL_CITATION {"citationID":"YWKV8eBB","properties":{"formattedCitation":"(Trouwloon et al., 2023)","plainCitation":"(Trouwloon et al., 2023)","noteIndex":0},"citationItems":[{"id":3022,"uris":["http://zotero.org/users/12055122/items/W78WW5BU"],"itemData":{"id":3022,"type":"article-journal","abstract":"Abstract\n            Worldwide, companies are increasingly making claims about their current climate efforts and their future mitigation commitments. These claims tend to be underpinned by carbon credits issued in voluntary carbon markets to offset emissions. Corporate climate claims are largely unregulated which means that they are often (perceived to be) misleading and deceptive. As such, corporate climate claims risk undermining, rather than contributing to, global climate mitigation. This paper takes as its point of departure the proposition that a better understanding of corporate climate claims is needed to govern such claims in a manner that adequately addresses potential greenwashing risks. To that end, the paper reviews the nascent literature on corporate climate claims relying on the use of voluntary carbon credits. Drawing on the reviewed literature, three key dimensions of corporate climate claims as related to carbon credits are discussed: 1) the intended use of carbon credits: offsetting versus non‐offsetting claims; 2) the framing and meaning of headline terms: net‐zero versus carbon neutral claims; and 3) the status of the claim: future aspirational commitments versus stated achievements. The paper thereby offers a preliminary categorization of corporate climate claims and discusses risks associated with and governance implications for each of these categories.","container-title":"Global Challenges","DOI":"10.1002/gch2.202200158","ISSN":"2056-6646, 2056-6646","issue":"4","journalAbbreviation":"Global Challenges","language":"en","page":"2200158","source":"DOI.org (Crossref)","title":"Understanding the Use of Carbon Credits by Companies: A Review of the Defining Elements of Corporate Climate Claims","title-short":"Understanding the Use of Carbon Credits by Companies","volume":"7","author":[{"family":"Trouwloon","given":"Danick"},{"family":"Streck","given":"Charlotte"},{"family":"Chagas","given":"Thiago"},{"family":"Martinus","given":"Glenpherd"}],"issued":{"date-parts":[["2023",4]]}}}],"schema":"https://github.com/citation-style-language/schema/raw/master/csl-citation.json"} </w:instrText>
      </w:r>
      <w:r w:rsidR="00391A14">
        <w:fldChar w:fldCharType="separate"/>
      </w:r>
      <w:r w:rsidR="00391A14" w:rsidRPr="00391A14">
        <w:t>(Trouwloon et al., 2023)</w:t>
      </w:r>
      <w:r w:rsidR="00391A14">
        <w:fldChar w:fldCharType="end"/>
      </w:r>
      <w:r>
        <w:t>. These scandals discredit the effectiveness of carbon credits as means to achieve climate mitigation</w:t>
      </w:r>
      <w:r w:rsidR="00391A14">
        <w:t xml:space="preserve"> </w:t>
      </w:r>
      <w:r w:rsidR="00391A14">
        <w:fldChar w:fldCharType="begin"/>
      </w:r>
      <w:r w:rsidR="00391A14">
        <w:instrText xml:space="preserve"> ADDIN ZOTERO_ITEM CSL_CITATION {"citationID":"xgqtffAi","properties":{"formattedCitation":"(Probst et al., 2024; Schreefel et al., 2023; Trencher et al., 2024)","plainCitation":"(Probst et al., 2024; Schreefel et al., 2023; Trencher et al., 2024)","noteIndex":0},"citationItems":[{"id":3019,"uris":["http://zotero.org/users/12055122/items/GNGL3ZU3"],"itemData":{"id":3019,"type":"article-journal","abstract":"Abstract\n            \n              Carbon markets play an important role in firms’ and governments’ climate strategies. Carbon crediting mechanisms allow project developers to earn carbon credits through mitigation projects. Several studies have raised concerns about environmental integrity, though a systematic evaluation is missing. We synthesized studies relying on experimental or rigorous observational methods, covering 14 studies on 2346 carbon mitigation projects and 51 studies investigating similar field interventions implemented without issuing carbon credits. The analysis covers one-fifth of the credit volume issued to date, almost 1 billion tons of CO\n              2\n              e. We estimate that less than 16% of the carbon credits issued to the investigated projects constitute real emission reductions, with 11% for cookstoves, 16% for SF\n              6\n              destruction, 25% for avoided deforestation, 68% for HFC-23 abatement, and no statistically significant emission reductions from wind power and improved forest management projects. Carbon crediting mechanisms need to be reformed fundamentally to meaningfully contribute to climate change mitigation.","container-title":"Nature Communications","DOI":"10.1038/s41467-024-53645-z","ISSN":"2041-1723","issue":"1","journalAbbreviation":"Nat Commun","language":"en","page":"9562","source":"DOI.org (Crossref)","title":"Systematic assessment of the achieved emission reductions of carbon crediting projects","volume":"15","author":[{"family":"Probst","given":"Benedict S."},{"family":"Toetzke","given":"Malte"},{"family":"Kontoleon","given":"Andreas"},{"family":"Díaz Anadón","given":"Laura"},{"family":"Minx","given":"Jan C."},{"family":"Haya","given":"Barbara K."},{"family":"Schneider","given":"Lambert"},{"family":"Trotter","given":"Philipp A."},{"family":"West","given":"Thales A. P."},{"family":"Gill-Wiehl","given":"Annelise"},{"family":"Hoffmann","given":"Volker H."}],"issued":{"date-parts":[["2024",11,14]]}}},{"id":266,"uris":["http://zotero.org/users/12055122/items/R8GQM6N6"],"itemData":{"id":266,"type":"report","genre":"preprint","note":"DOI: 10.2139/ssrn.4525658","publisher":"SSRN","source":"DOI.org (Crossref)","title":"How to Monitor the ‘Success’ of (Regenerative) Agriculture: A Perspective","title-short":"How to Monitor the ‘Success’ of (Regenerative) Agriculture","URL":"https://www.ssrn.com/abstract=4525658","author":[{"family":"Schreefel","given":"Loekie"},{"family":"Creamer","given":"Rachel E."},{"family":"Van Zanten","given":"Hannah  H.E."},{"family":"De Olde","given":"Evelien M."},{"family":"Pas Schrijver","given":"Annemiek"},{"family":"De Boer","given":"Imke"},{"family":"Schulte","given":"Rogier  P.O."}],"accessed":{"date-parts":[["2023",9,4]]},"issued":{"date-parts":[["2023"]]}}},{"id":3021,"uris":["http://zotero.org/users/12055122/items/YNWXLFHL"],"itemData":{"id":3021,"type":"article-journal","container-title":"Nature Communications","DOI":"10.1038/s41467-024-51151-w","ISSN":"2041-1723","issue":"1","journalAbbreviation":"Nat Commun","language":"en","page":"6863","source":"DOI.org (Crossref)","title":"Demand for low-quality offsets by major companies undermines climate integrity of the voluntary carbon market","volume":"15","author":[{"family":"Trencher","given":"Gregory"},{"family":"Nick","given":"Sascha"},{"family":"Carlson","given":"Jordan"},{"family":"Johnson","given":"Matthew"}],"issued":{"date-parts":[["2024",8,10]]}}}],"schema":"https://github.com/citation-style-language/schema/raw/master/csl-citation.json"} </w:instrText>
      </w:r>
      <w:r w:rsidR="00391A14">
        <w:fldChar w:fldCharType="separate"/>
      </w:r>
      <w:r w:rsidR="00391A14" w:rsidRPr="00391A14">
        <w:t>(Probst et al., 2024; Schreefel et al., 2023; Trencher et al., 2024)</w:t>
      </w:r>
      <w:r w:rsidR="00391A14">
        <w:fldChar w:fldCharType="end"/>
      </w:r>
      <w:r>
        <w:t>. A prominent example is the non-commensurate use of carbon credits to achieve greenhouse gas reductions beyond solely offsetting residual emissions as prescribed in voluntary best-practice guidance (</w:t>
      </w:r>
      <w:proofErr w:type="spellStart"/>
      <w:r>
        <w:t>Trouwloon</w:t>
      </w:r>
      <w:proofErr w:type="spellEnd"/>
      <w:r>
        <w:t xml:space="preserve"> et al., 2023).</w:t>
      </w:r>
    </w:p>
    <w:p w14:paraId="6E1A42CC" w14:textId="6FE9E646" w:rsidR="001223AC" w:rsidRDefault="00000000">
      <w:r>
        <w:t xml:space="preserve">To counteract green washing, the effects of the activities that lead to an intended outcome should be monitored in a scientifically robust way and results should be transparently reported and verified. It is the purpose of Monitoring, Reporting and Verification (MRV) procedures </w:t>
      </w:r>
      <w:r w:rsidR="00391A14">
        <w:fldChar w:fldCharType="begin"/>
      </w:r>
      <w:r w:rsidR="00391A14">
        <w:instrText xml:space="preserve"> ADDIN ZOTERO_ITEM CSL_CITATION {"citationID":"8vT4chPJ","properties":{"formattedCitation":"(Smith et al., 2020)","plainCitation":"(Smith et al., 2020)","noteIndex":0},"citationItems":[{"id":46,"uris":["http://zotero.org/users/12055122/items/3BLHZKHX"],"itemData":{"id":46,"type":"article-journal","container-title":"Global Change Biology","DOI":"10.1111/gcb.14815","ISSN":"1354-1013, 1365-2486","issue":"1","journalAbbreviation":"Global Change Biology","language":"en","page":"219-241","source":"DOI.org (Crossref)","title":"How to measure, report and verify soil carbon change to realize the potential of soil carbon sequestration for atmospheric greenhouse gas removal","volume":"26","author":[{"family":"Smith","given":"Pete"},{"family":"Soussana","given":"Jean‐Francois"},{"family":"Angers","given":"Denis"},{"family":"Schipper","given":"Louis"},{"family":"Chenu","given":"Claire"},{"family":"Rasse","given":"Daniel P."},{"family":"Batjes","given":"Niels H."},{"family":"Egmond","given":"Fenny"},{"family":"McNeill","given":"Stephen"},{"family":"Kuhnert","given":"Matthias"},{"family":"Arias‐Navarro","given":"Cristina"},{"family":"Olesen","given":"Jorgen E."},{"family":"Chirinda","given":"Ngonidzashe"},{"family":"Fornara","given":"Dario"},{"family":"Wollenberg","given":"Eva"},{"family":"Álvaro‐Fuentes","given":"Jorge"},{"family":"Sanz‐Cobena","given":"Alberto"},{"family":"Klumpp","given":"Katja"}],"issued":{"date-parts":[["2020",1]]}}}],"schema":"https://github.com/citation-style-language/schema/raw/master/csl-citation.json"} </w:instrText>
      </w:r>
      <w:r w:rsidR="00391A14">
        <w:fldChar w:fldCharType="separate"/>
      </w:r>
      <w:r w:rsidR="00391A14" w:rsidRPr="00391A14">
        <w:t>(Smith et al., 2020)</w:t>
      </w:r>
      <w:r w:rsidR="00391A14">
        <w:fldChar w:fldCharType="end"/>
      </w:r>
      <w:r>
        <w:t xml:space="preserve">. They are transparent and accurate frameworks giving indications in the way to assess the impact of an action on an object. Regarding soils, the objective of the MRV procedures is to demonstrate the effect of land management (mainly, e.g. moving to </w:t>
      </w:r>
      <w:proofErr w:type="spellStart"/>
      <w:r>
        <w:t>agro</w:t>
      </w:r>
      <w:proofErr w:type="spellEnd"/>
      <w:r>
        <w:t xml:space="preserve">-ecological practices) or reforestation, on soil parameters (such as organic matter content or biodiversity). Moreover, MRV procedures </w:t>
      </w:r>
      <w:r w:rsidR="00871C4F">
        <w:t>centred</w:t>
      </w:r>
      <w:r>
        <w:t xml:space="preserve"> on other topics such as forest preservation include the assessment of soil parameters.</w:t>
      </w:r>
      <w:r w:rsidR="00871C4F">
        <w:t xml:space="preserve"> </w:t>
      </w:r>
      <w:r>
        <w:t xml:space="preserve">The term MRV seems to not be known by soil stakeholders except in the sector of carbon markets </w:t>
      </w:r>
      <w:r w:rsidR="00391A14">
        <w:fldChar w:fldCharType="begin"/>
      </w:r>
      <w:r w:rsidR="00391A14">
        <w:instrText xml:space="preserve"> ADDIN ZOTERO_ITEM CSL_CITATION {"citationID":"gIsp8hHz","properties":{"formattedCitation":"(Batjes et al., 2024)","plainCitation":"(Batjes et al., 2024)","noteIndex":0},"citationItems":[{"id":2839,"uris":["http://zotero.org/users/12055122/items/PBHDU6DX"],"itemData":{"id":2839,"type":"article-journal","container-title":"Carbon Management","DOI":"10.1080/17583004.2024.2410812","ISSN":"1758-3004, 1758-3012","issue":"1","journalAbbreviation":"Carbon Management","language":"en","page":"2410812","source":"DOI.org (Crossref)","title":"Towards a modular, multi-ecosystem monitoring, reporting and verification (MRV) framework for soil organic carbon stock change assessment","volume":"15","author":[{"family":"Batjes","given":"Niels H."},{"family":"Ceschia","given":"Eric"},{"family":"Heuvelink","given":"Gerard B.M."},{"family":"Demenois","given":"Julien"},{"family":"Le Maire","given":"Guerric"},{"family":"Cardinael","given":"Rémi"},{"family":"Arias-Navarro","given":"Cristina"},{"family":"Van Egmond","given":"Fenny"}],"issued":{"date-parts":[["2024",12,31]]}}}],"schema":"https://github.com/citation-style-language/schema/raw/master/csl-citation.json"} </w:instrText>
      </w:r>
      <w:r w:rsidR="00391A14">
        <w:fldChar w:fldCharType="separate"/>
      </w:r>
      <w:r w:rsidR="00391A14" w:rsidRPr="00391A14">
        <w:t>(Batjes et al., 2024)</w:t>
      </w:r>
      <w:r w:rsidR="00391A14">
        <w:fldChar w:fldCharType="end"/>
      </w:r>
      <w:r>
        <w:t xml:space="preserve">. In the soil scientific community, this term </w:t>
      </w:r>
      <w:r w:rsidR="00871C4F">
        <w:t xml:space="preserve">is </w:t>
      </w:r>
      <w:r>
        <w:t>promoted by the two recent EU projects BENCHMARKS and MARVIC (</w:t>
      </w:r>
      <w:hyperlink r:id="rId8">
        <w:r w:rsidR="001223AC">
          <w:rPr>
            <w:rStyle w:val="Hyperlink"/>
          </w:rPr>
          <w:t>https://soilhealthbenchmarks.eu/,</w:t>
        </w:r>
      </w:hyperlink>
      <w:r>
        <w:t xml:space="preserve"> </w:t>
      </w:r>
      <w:hyperlink r:id="rId9">
        <w:r w:rsidR="001223AC">
          <w:rPr>
            <w:rStyle w:val="Hyperlink"/>
          </w:rPr>
          <w:t>https://www.project-marvic.eu/</w:t>
        </w:r>
      </w:hyperlink>
      <w:r>
        <w:t xml:space="preserve"> ). Until now, scientists mainly described carbon-focused MRV procedures and no classification targeting a larger spectrum of purposes exists (</w:t>
      </w:r>
      <w:proofErr w:type="spellStart"/>
      <w:r>
        <w:t>Batjes</w:t>
      </w:r>
      <w:proofErr w:type="spellEnd"/>
      <w:r>
        <w:t xml:space="preserve"> et al. 2024).</w:t>
      </w:r>
    </w:p>
    <w:p w14:paraId="71595A25" w14:textId="125A6B37" w:rsidR="001223AC" w:rsidRDefault="00000000">
      <w:r>
        <w:t xml:space="preserve">Thus, there is a need to go beyond carbon and identify all the MRV procedures including soil parameters. Indeed, MRV procedures could be applied in all the contexts dealing with soils. The main stakeholders are land managers as farmers, foresters </w:t>
      </w:r>
      <w:r>
        <w:lastRenderedPageBreak/>
        <w:t>or public administration but also scientists, NGOs and companies are concerned because they encourage practices enhancing soil health. Regarding soil monitoring, biological, physical and chemical parameters could be assessed with sampling, remote sensing, on-site images, modelling or several of these methodologies combined (</w:t>
      </w:r>
      <w:proofErr w:type="spellStart"/>
      <w:r>
        <w:t>Batjes</w:t>
      </w:r>
      <w:proofErr w:type="spellEnd"/>
      <w:r>
        <w:t xml:space="preserve"> et al., 2024). Land management information, collected with questionnaires answered by farmers, could also be used as proxy of soil parameters (</w:t>
      </w:r>
      <w:proofErr w:type="spellStart"/>
      <w:r>
        <w:t>Batjes</w:t>
      </w:r>
      <w:proofErr w:type="spellEnd"/>
      <w:r>
        <w:t xml:space="preserve"> et al., 2024). Result uncertainty is computed with probabilistic methods (Markov chain Monte Carlo and Bayesian inference), a sensitivity analysis or basic quantile distribution (with the representation and/or consideration of the quantiles in the result interpretation</w:t>
      </w:r>
      <w:r w:rsidR="00871C4F">
        <w:t xml:space="preserve">, </w:t>
      </w:r>
      <w:proofErr w:type="spellStart"/>
      <w:r>
        <w:t>Ceschia</w:t>
      </w:r>
      <w:proofErr w:type="spellEnd"/>
      <w:r>
        <w:t xml:space="preserve"> et al., </w:t>
      </w:r>
      <w:r w:rsidR="00871C4F">
        <w:t>2025</w:t>
      </w:r>
      <w:r>
        <w:t xml:space="preserve">). Data are compared to reference values to determine if the implemented action is beneficial or not to soils. </w:t>
      </w:r>
      <w:r w:rsidR="00391A14">
        <w:fldChar w:fldCharType="begin"/>
      </w:r>
      <w:r w:rsidR="00391A14">
        <w:instrText xml:space="preserve"> ADDIN ZOTERO_ITEM CSL_CITATION {"citationID":"PRZ8Iu7B","properties":{"formattedCitation":"(Matson et al., 2024)","plainCitation":"(Matson et al., 2024)","noteIndex":0},"citationItems":[{"id":2828,"uris":["http://zotero.org/users/12055122/items/JH2IDUZM"],"itemData":{"id":2828,"type":"article-journal","container-title":"Journal of Environmental Management","DOI":"10.1016/j.jenvman.2024.123141","ISSN":"03014797","journalAbbreviation":"Journal of Environmental Management","language":"en","page":"123141","source":"DOI.org (Crossref)","title":"Four approaches to setting soil health targets and thresholds in agricultural soils","volume":"371","author":[{"family":"Matson","given":"Amanda"},{"family":"Fantappiè","given":"Maria"},{"family":"Campbell","given":"Grant A."},{"family":"Miranda-Vélez","given":"Jorge F."},{"family":"Faber","given":"Jack H."},{"family":"Gomes","given":"Lucas Carvalho"},{"family":"Hessel","given":"Rudi"},{"family":"Lana","given":"Marcos"},{"family":"Mocali","given":"Stefano"},{"family":"Smith","given":"Pete"},{"family":"Robinson","given":"David A."},{"family":"Bispo","given":"Antonio"},{"family":"Van Egmond","given":"Fenny"},{"family":"Keesstra","given":"Saskia"},{"family":"Saby","given":"Nicolas P.A."},{"family":"Smreczak","given":"Bozena"},{"family":"Froger","given":"Claire"},{"family":"Suleymanov","given":"Azamat"},{"family":"Chenu","given":"Claire"}],"issued":{"date-parts":[["2024",12]]}}}],"schema":"https://github.com/citation-style-language/schema/raw/master/csl-citation.json"} </w:instrText>
      </w:r>
      <w:r w:rsidR="00391A14">
        <w:fldChar w:fldCharType="separate"/>
      </w:r>
      <w:r w:rsidR="00391A14" w:rsidRPr="00391A14">
        <w:t>Matson et al., 2024</w:t>
      </w:r>
      <w:r w:rsidR="00391A14">
        <w:fldChar w:fldCharType="end"/>
      </w:r>
      <w:r>
        <w:t xml:space="preserve"> describes four methodologies for computing these reference values</w:t>
      </w:r>
      <w:r w:rsidR="00871C4F">
        <w:t xml:space="preserve"> :</w:t>
      </w:r>
      <w:r>
        <w:t xml:space="preserve"> 1) fixed value i.e.</w:t>
      </w:r>
      <w:r w:rsidR="00871C4F">
        <w:t xml:space="preserve"> </w:t>
      </w:r>
      <w:r>
        <w:t>a static value based on best available research or knowledge, 2) reference value i.e.</w:t>
      </w:r>
      <w:r w:rsidR="00871C4F">
        <w:t xml:space="preserve"> </w:t>
      </w:r>
      <w:r>
        <w:t>a static value, calculated as a percentage of what would be found in a reference situation, where soil processes are occurring in a way that is considered to be desirable such as natural areas, 3) data distribution i.e.</w:t>
      </w:r>
      <w:r w:rsidR="00871C4F">
        <w:t xml:space="preserve"> </w:t>
      </w:r>
      <w:r>
        <w:t>a changeable value, based on the regional state of the soil, 4) relative change i.e.</w:t>
      </w:r>
      <w:r w:rsidR="00871C4F">
        <w:t xml:space="preserve"> </w:t>
      </w:r>
      <w:r>
        <w:t xml:space="preserve"> the target defined as an increase or decrease of a certain percent within a specified number of years for a same place. Results are gathered in a document or entered on an online platform</w:t>
      </w:r>
      <w:r w:rsidR="00391A14">
        <w:t xml:space="preserve"> </w:t>
      </w:r>
      <w:r w:rsidR="00391A14">
        <w:fldChar w:fldCharType="begin"/>
      </w:r>
      <w:r w:rsidR="00391A14">
        <w:instrText xml:space="preserve"> ADDIN ZOTERO_ITEM CSL_CITATION {"citationID":"jxFk2htI","properties":{"formattedCitation":"(Andries et al., 2021)","plainCitation":"(Andries et al., 2021)","noteIndex":0},"citationItems":[{"id":117,"uris":["http://zotero.org/users/12055122/items/GY5DSAQF"],"itemData":{"id":117,"type":"article-journal","abstract":"Earth Observation (EO) techniques could offer a more cost-effective and rapid approach for reliable monitoring, reporting, and verification (MRV) of soil organic carbon (SOC). Here, we analyse the available published literature to assess whether it may be possible to estimate SOC using data from sensors mounted on satellites and airborne systems. This is complemented with research using a series of semi-structured interviews with experts in soil health and policy areas to understand the level of accuracy that is acceptable for MRV approaches for SOC. We also perform a cost-accuracy analysis of the approaches, including the use of EO techniques, for SOC assessment in the context of the new UK Environmental Land Management scheme. We summarise the state-of-the-art EO techniques for SOC assessment and identify 3 themes and 25 key suggestions and concerns for the MRV of SOC from the expert interviews. Notably, over three-quarters of the respondents considered that a ‘validation accuracy’ of 90% or better would be required from EO-based techniques to be acceptable as an effective system for the monitoring and reporting of SOC stocks. The cost-accuracy analysis revealed that a combination of EO technology and in situ sampling has the potential to offer a reliable, cost-effective approach to estimating SOC at a local scale (4 ha), although several challenges remain. We conclude by proposing an MRV framework for SOC that collates and integrates seven criteria for multiple data sources at the appropriate scales.","container-title":"Sustainability","DOI":"10.3390/su132112074","ISSN":"2071-1050","issue":"21","journalAbbreviation":"Sustainability","language":"en","page":"12074","source":"DOI.org (Crossref)","title":"Can Current Earth Observation Technologies Provide Useful Information on Soil Organic Carbon Stocks for Environmental Land Management Policy?","volume":"13","author":[{"family":"Andries","given":"Ana"},{"family":"Morse","given":"Stephen"},{"family":"Murphy","given":"Richard J."},{"family":"Lynch","given":"Jim"},{"family":"Mota","given":"Bernardo"},{"family":"Woolliams","given":"Emma R."}],"issued":{"date-parts":[["2021",11,1]]}}}],"schema":"https://github.com/citation-style-language/schema/raw/master/csl-citation.json"} </w:instrText>
      </w:r>
      <w:r w:rsidR="00391A14">
        <w:fldChar w:fldCharType="separate"/>
      </w:r>
      <w:r w:rsidR="00391A14" w:rsidRPr="00391A14">
        <w:t>(Andries et al., 2021)</w:t>
      </w:r>
      <w:r w:rsidR="00391A14">
        <w:fldChar w:fldCharType="end"/>
      </w:r>
      <w:r>
        <w:t xml:space="preserve">. The verification could take two forms: result-based i.e. doubling soil measurements with the same or a different methodology than for the monitoring step, or action-based i.e. the implementation of the actions is verified during a site visit, by remote sensing or with a phone application. The auditor could be part of the organization implementing the soil monitoring or </w:t>
      </w:r>
      <w:proofErr w:type="spellStart"/>
      <w:r>
        <w:t>independant</w:t>
      </w:r>
      <w:proofErr w:type="spellEnd"/>
      <w:r>
        <w:t>.</w:t>
      </w:r>
      <w:r>
        <w:br/>
        <w:t>In this study, we review and classify the adoption of MRV procedures for assessing soil health and, in doing so, to determine whether it is used beyond the context of carbon markets. We also identify the involved stakeholders, as well as the associated soil management practices. We also suggest a decision tool to help future users to select the right MRV procedure, corresponding to their context.</w:t>
      </w:r>
      <w:r w:rsidR="005A6AA0">
        <w:t xml:space="preserve"> </w:t>
      </w:r>
      <w:r>
        <w:t xml:space="preserve">As we suspected that few scientific articles would be written on the topic of soil MRV procedures, we decided to combine three methods: the traditional literature review using a database of scientific articles and recent ones: web scraping and the AI browsers Perplexity and Elicit. While traditional literature review has been the common method for any academic researcher, web scraping has been introduced for accessing grey literature from websites in a more systematic manner </w:t>
      </w:r>
      <w:r w:rsidR="00391A14">
        <w:fldChar w:fldCharType="begin"/>
      </w:r>
      <w:r w:rsidR="00391A14">
        <w:instrText xml:space="preserve"> ADDIN ZOTERO_ITEM CSL_CITATION {"citationID":"SRPK72Kn","properties":{"formattedCitation":"(Sayles et al., 2022)","plainCitation":"(Sayles et al., 2022)","noteIndex":0},"citationItems":[{"id":2841,"uris":["http://zotero.org/users/12055122/items/6GMA4RE3"],"itemData":{"id":2841,"type":"article-journal","abstract":"Abstract\n            Social network analysis (SNA) tools and concepts are essential for addressing many environmental management and sustainability issues. One method to gather SNA data is to scrape them from environmental organizations’ websites. Web-based research can provide important opportunities to understand environmental governance and policy networks while potentially reducing costs and time when compared to traditional survey and interview methods. A key parameter is ‘search depth,’ i.e., how many connected pages within a website to search for information. Existing research uses a variety of depths and no best practices exist, undermining research quality and case study comparability. We therefore analyze how search depth affects SNA data collection among environmental organizations, if results vary when organizations have different objectives, and how search depth affects social network structure. We find that scraping to a depth of three captures the majority of relevant network data regardless of an organization’s focus. Stakeholder identification (i.e., who is in the network) may require less scraping, but this might under-represent network structure (i.e., who is connected). We also discuss how scraping web-pages of local programs of larger organizations may lead to uncertain results and how our work can combine with mixed methods approaches.","container-title":"Applied Network Science","DOI":"10.1007/s41109-022-00472-0","ISSN":"2364-8228","issue":"1","journalAbbreviation":"Appl Netw Sci","language":"en","page":"36","source":"DOI.org (Crossref)","title":"How deep to dig: effects of web-scraping search depth on hyperlink network analysis of environmental stewardship organizations","title-short":"How deep to dig","volume":"7","author":[{"family":"Sayles","given":"Jesse S."},{"family":"Furey","given":"Ryan P."},{"family":"Ten Brink","given":"Marilyn R."}],"issued":{"date-parts":[["2022",12]]}}}],"schema":"https://github.com/citation-style-language/schema/raw/master/csl-citation.json"} </w:instrText>
      </w:r>
      <w:r w:rsidR="00391A14">
        <w:fldChar w:fldCharType="separate"/>
      </w:r>
      <w:r w:rsidR="00391A14" w:rsidRPr="00391A14">
        <w:t>(Sayles et al., 2022)</w:t>
      </w:r>
      <w:r w:rsidR="00391A14">
        <w:fldChar w:fldCharType="end"/>
      </w:r>
      <w:r>
        <w:t>. Most recently, Artificial Intelligence has emerged providing a wide array of search capabilities and in particular, browsers as Perplexity and Elicit trained for the scientists.</w:t>
      </w:r>
      <w:r w:rsidR="005A6AA0">
        <w:t xml:space="preserve"> </w:t>
      </w:r>
      <w:r>
        <w:t>Our findings are very relevant for future stakeholders wishing to develop or implement MRV procedures for soil health that will be able to identify existing approaches or build upon them, with a view to adapting existing practices to their needs and context.</w:t>
      </w:r>
    </w:p>
    <w:p w14:paraId="0BE43584" w14:textId="77777777" w:rsidR="001223AC" w:rsidRDefault="00000000">
      <w:pPr>
        <w:pStyle w:val="Heading1"/>
      </w:pPr>
      <w:bookmarkStart w:id="3" w:name="materials-and-methods"/>
      <w:bookmarkEnd w:id="2"/>
      <w:r>
        <w:t>2. Materials and methods</w:t>
      </w:r>
    </w:p>
    <w:p w14:paraId="4CE5BE87" w14:textId="77777777" w:rsidR="001223AC" w:rsidRDefault="00000000">
      <w:pPr>
        <w:pStyle w:val="Heading2"/>
      </w:pPr>
      <w:bookmarkStart w:id="4" w:name="data-search"/>
      <w:r>
        <w:t>2.1. Data search</w:t>
      </w:r>
    </w:p>
    <w:p w14:paraId="1E184A2F" w14:textId="4A682079" w:rsidR="001223AC" w:rsidRDefault="00000000">
      <w:r>
        <w:t xml:space="preserve">As MRV procedures on soils seem to </w:t>
      </w:r>
      <w:r w:rsidR="007F00F4">
        <w:t xml:space="preserve">not </w:t>
      </w:r>
      <w:r>
        <w:t xml:space="preserve">be well studied, we decided to use a very broad search string: </w:t>
      </w:r>
      <w:r>
        <w:rPr>
          <w:b/>
          <w:bCs/>
        </w:rPr>
        <w:t>Monitor* AND Report* AND Verif* AND MRV AND soil*</w:t>
      </w:r>
      <w:r>
        <w:t>.</w:t>
      </w:r>
      <w:r w:rsidR="005A6AA0">
        <w:t xml:space="preserve"> </w:t>
      </w:r>
      <w:r>
        <w:t xml:space="preserve">We used it for the three methods we combined to </w:t>
      </w:r>
      <w:r w:rsidR="005A6AA0">
        <w:t xml:space="preserve">collect </w:t>
      </w:r>
      <w:r>
        <w:t>scientific articles and websites presenting MRV procedures: a search on the database of scientific articles Scopus, web</w:t>
      </w:r>
      <w:r w:rsidR="005A6AA0">
        <w:t xml:space="preserve"> </w:t>
      </w:r>
      <w:r>
        <w:t xml:space="preserve">scraping and the use of </w:t>
      </w:r>
      <w:r>
        <w:lastRenderedPageBreak/>
        <w:t>Artificial Intelligence browsers Elicit and Perplexity. The search was done in Scopus in March 2025 and includes article titles, abstracts and keywords. It resulted in 18 articles (primary studies, reviews and book chapters). We recorded the name of the first author, the title, the publication year, the DOI and the type of document i.e.</w:t>
      </w:r>
      <w:r w:rsidR="005A6AA0">
        <w:t xml:space="preserve"> </w:t>
      </w:r>
      <w:r>
        <w:t xml:space="preserve">if it was a primary study, an editorial article or a review. Then, we developed a web scraping script using Python 3.9.7 and Selenium web driver (Appendix 2, </w:t>
      </w:r>
      <w:hyperlink r:id="rId10">
        <w:r w:rsidR="001223AC">
          <w:rPr>
            <w:rStyle w:val="Hyperlink"/>
            <w:b/>
            <w:bCs/>
          </w:rPr>
          <w:t>https://www.selenium.dev/documentation/webdriver/</w:t>
        </w:r>
      </w:hyperlink>
      <w:r>
        <w:t>). We ran the script to scrap the first 20 pages on Google SERP. We manually handled reCAPTCHA images. As results provided by Google varied according to the country location, the date and the IP address, we decided to run the script during Autumn 2025, from different countries and different computers in Europe (Appendix 3). We recorded the URL link, webpage title and URL domain in a database for further analysis. We used the Artificial Intelligence browsers Perplexity (</w:t>
      </w:r>
      <w:hyperlink r:id="rId11">
        <w:r w:rsidR="001223AC">
          <w:rPr>
            <w:rStyle w:val="Hyperlink"/>
            <w:b/>
            <w:bCs/>
          </w:rPr>
          <w:t>https://www.perplexity.ai/</w:t>
        </w:r>
      </w:hyperlink>
      <w:r>
        <w:t>) and Elicit (</w:t>
      </w:r>
      <w:hyperlink r:id="rId12">
        <w:r w:rsidR="001223AC">
          <w:rPr>
            <w:rStyle w:val="Hyperlink"/>
            <w:b/>
            <w:bCs/>
          </w:rPr>
          <w:t>https://elicit.com/</w:t>
        </w:r>
      </w:hyperlink>
      <w:r>
        <w:t>) in December 2025 with the following prompt: "</w:t>
      </w:r>
      <w:r>
        <w:rPr>
          <w:i/>
          <w:iCs/>
        </w:rPr>
        <w:t>I would like to investigate existing Monitoring, Reporting and Verification Systems for soil parameters. Please find the documents for this contextual focus and give a table that I can copy, listing these documents, with for each of them, a URL link to download them."</w:t>
      </w:r>
      <w:r>
        <w:t xml:space="preserve"> We recorded the document title and the URL link in a dataset for further analysis.</w:t>
      </w:r>
    </w:p>
    <w:p w14:paraId="24E29F6E" w14:textId="77777777" w:rsidR="001223AC" w:rsidRDefault="00000000">
      <w:pPr>
        <w:pStyle w:val="Heading2"/>
      </w:pPr>
      <w:bookmarkStart w:id="5" w:name="data-extraction"/>
      <w:bookmarkEnd w:id="4"/>
      <w:r>
        <w:t>2.2. Data extraction</w:t>
      </w:r>
    </w:p>
    <w:p w14:paraId="250AF4D6" w14:textId="77777777" w:rsidR="001223AC" w:rsidRDefault="00000000">
      <w:pPr>
        <w:pStyle w:val="Heading3"/>
      </w:pPr>
      <w:bookmarkStart w:id="6" w:name="inclusion-rules"/>
      <w:r>
        <w:t>2.2.1. Inclusion rules</w:t>
      </w:r>
    </w:p>
    <w:p w14:paraId="305F8039" w14:textId="5E7F7FA4" w:rsidR="001223AC" w:rsidRDefault="00000000">
      <w:r>
        <w:t xml:space="preserve">To be included in the study, the collected articles and websites should at least indicate one of the required </w:t>
      </w:r>
      <w:r w:rsidR="007F00F4">
        <w:t>types of information</w:t>
      </w:r>
      <w:r>
        <w:t xml:space="preserve"> for each step of the MRV procedure i.e. one information regarding monitoring, one for reporting and one for verification. For example, if only information about monitoring was given, such as the assessed soil parameters and no information about reporting nor verification, the document was excluded of the analysis. Moreover, the MRV procedure was required to include at least one soil parameter. For example, MRV procedures about greenhouse gas emissions in forest, focusing on parameters related to the vegetation, without considering a single soil parameter, were excluded.</w:t>
      </w:r>
    </w:p>
    <w:p w14:paraId="5AC6D350" w14:textId="77777777" w:rsidR="001223AC" w:rsidRDefault="00000000">
      <w:pPr>
        <w:pStyle w:val="Heading3"/>
      </w:pPr>
      <w:bookmarkStart w:id="7" w:name="duplicate-management"/>
      <w:bookmarkEnd w:id="6"/>
      <w:r>
        <w:t>2.2.2. Duplicate management</w:t>
      </w:r>
    </w:p>
    <w:p w14:paraId="18A57E47" w14:textId="77777777" w:rsidR="001223AC" w:rsidRDefault="00000000">
      <w:r>
        <w:t>The same document or the same MRV procedure could be collected several times. For example, several scientific articles could include the same MRV procedure, or a website could appear several times. We consider any new mention of an already mentioned MRV procedure as duplicate. Thus, we avoided counting twice the same MRV procedure.</w:t>
      </w:r>
    </w:p>
    <w:p w14:paraId="1FEA37F2" w14:textId="77777777" w:rsidR="001223AC" w:rsidRDefault="00000000">
      <w:pPr>
        <w:pStyle w:val="Heading3"/>
      </w:pPr>
      <w:bookmarkStart w:id="8" w:name="data-collection"/>
      <w:bookmarkEnd w:id="7"/>
      <w:r>
        <w:t>2.2.3. Data collection</w:t>
      </w:r>
    </w:p>
    <w:p w14:paraId="777103B2" w14:textId="24234B28" w:rsidR="001223AC" w:rsidRDefault="00000000">
      <w:r>
        <w:t xml:space="preserve">We considered the land uses and land covers were the MRV procedures are applied, the geographical scale (i.e. local such as a field, a farm or a forest area, regional corresponding to several sites or farms, national, continental and global scale). We categorized occupations of stakeholders implementing the MRV procedures as farmers, foresters and forester associations, public administrators, educational and research institutions, NGOs, agroindustry, forestry companies and consultants and </w:t>
      </w:r>
      <w:r>
        <w:lastRenderedPageBreak/>
        <w:t xml:space="preserve">others </w:t>
      </w:r>
      <w:r w:rsidR="00391A14">
        <w:fldChar w:fldCharType="begin"/>
      </w:r>
      <w:r w:rsidR="00391A14">
        <w:instrText xml:space="preserve"> ADDIN ZOTERO_ITEM CSL_CITATION {"citationID":"K0nVnvTp","properties":{"formattedCitation":"(Chowdhury et al., 2023; Eggers et al., 2020; Pach\\uc0\\u243{}n Maldonado et al., 2024; Strauss et al., 2023; Vanino et al., 2023)","plainCitation":"(Chowdhury et al., 2023; Eggers et al., 2020; Pachón Maldonado et al., 2024; Strauss et al., 2023; Vanino et al., 2023)","noteIndex":0},"citationItems":[{"id":2867,"uris":["http://zotero.org/users/12055122/items/SALJ4RPL"],"itemData":{"id":2867,"type":"article-journal","abstract":"Urban greenspaces (UGS) provide a range of ecosystem services and are instrumental in ensuring the liveability of cities. Whilst incorporating UGS in increasingly denser cities is a challenge to planners, brownfields form a latent resource with the potential of being converted into UGS. Transformation of brownfields to greenspaces, however, requires engagement of a variety of stakeholders, from providers to users. The overall aim of this study was to support effective and realistic realisations of UGS in the context of urban brownfields’ regeneration and stakeholder engagement. A working process was developed to: 1) integrate methods relevant for UGS realisation for a) identification and categorising of relevant stakeholders, b) mapping their interests and resources, c) identifying various challenges, and d) matching those challenges with the mapped resources over the timeline of UGS development; and 2) apply these methods to assess relevance and shortcomings. The methods were applied to a study site in Sweden, and data was collected using a questionnaire survey. The survey received 31 responses and the respondents’ comments indicated that the combination of several uses, especially integrated with an urban park, is preferable. Visualisation was an important component for data analysis: stakeholder categorisation was effectively visualised using a Venn diagram, and the needed mobilisation of resources among stakeholders to manage identified challenges was visualised using a timeline. The analysis demonstrates the need for collaboration between stakeholders to achieve an effective realisation of UGS and how multiple methods can be used in concert to map stakeholders, preferences, challenges, and resources for a particular site. The application at a study site provided site-specific data but the developed stakeholder categorisation, and the method for matching identified challenges with the stakeholders’ resources using a timeline, can be generalised to applications at other sites.","container-title":"PLOS ONE","DOI":"10.1371/journal.pone.0278747","ISSN":"1932-6203","issue":"1","journalAbbreviation":"PLoS ONE","language":"en","page":"e0278747","source":"DOI.org (Crossref)","title":"Transforming brownfields into urban greenspaces: A working process for stakeholder analysis","title-short":"Transforming brownfields into urban greenspaces","volume":"18","author":[{"family":"Chowdhury","given":"Shaswati"},{"family":"Kain","given":"Jaan-Henrik"},{"family":"Adelfio","given":"Marco"},{"family":"Volchko","given":"Yevheniya"},{"family":"Norrman","given":"Jenny"}],"editor":[{"family":"Muth","given":"Theodore Raymond"}],"issued":{"date-parts":[["2023",1,5]]}}},{"id":2860,"uris":["http://zotero.org/users/12055122/items/WPXAI7MY"],"itemData":{"id":2860,"type":"article-journal","abstract":"Research Highlights: We show the difference in the long-term effects on economic and ecological forest values between four forest management scenarios of a large representative forest landscape. The scenarios were largely formulated by stakeholders representing the main views on how to manage north-European forests. Background and Objectives: Views on how to balance forest management between wood production and biodiversity differ widely between different stakeholder groups. We aim to show the long-term consequences of stakeholder-defined management scenarios, in terms of ecological and economic forest values. Materials and Methods: We simulated management scenarios for a forest landscape in Sweden, based on the management objectives and strategies of key stakeholders. We specifically investigated the difference in economic forest values coupled to wood supply and ecological indicators coupled to structural biodiversity between the scenarios over a 100-year period. The indicators were net present value, harvest, growing stock and increment, along with deadwood volume, the density of large trees, area of old forests and mature broadleaf-rich forests. Results: We show that the scenarios have widely different outcomes in terms of the studied indicators, and that differences in indicator outcome were largely due to different distributions in management regimes, i.e., the proportion of forest left unmanaged or under even-aged management or continuous cover forest, as well as specific retention practices. Retention and continuous cover forestry mitigate the negative effects that clear-cut forestry has upon biodiversity. Conclusions: We found that an increase in the forest area under the continuous cover forestry regime could be a cost-efficient way to increase structural diversity in managed boreal forests. On the other hand, no single management regime performed best with respect to all indicators, which means that a mixture of several management regimes is needed to balance conflicting objectives. We also show that the trade-off between economic and ecological indicators was not directly proportional, meaning that an increase in structural biodiversity may be obtained at a proportionally low cost with appropriate management planning.","container-title":"Forests","DOI":"10.3390/f11010086","ISSN":"1999-4907","issue":"1","journalAbbreviation":"Forests","language":"en","license":"https://creativecommons.org/licenses/by/4.0/","page":"86","source":"DOI.org (Crossref)","title":"How Well Do Stakeholder-Defined Forest Management Scenarios Balance Economic and Ecological Forest Values?","volume":"11","author":[{"family":"Eggers","given":"Jeannette"},{"family":"Räty","given":"Minna"},{"family":"Öhman","given":"Karin"},{"family":"Snäll","given":"Tord"}],"issued":{"date-parts":[["2020",1,9]]}}},{"id":2836,"uris":["http://zotero.org/users/12055122/items/67WD7JDT"],"itemData":{"id":2836,"type":"article-journal","container-title":"Soil Security","DOI":"10.1016/j.soisec.2024.100175","ISSN":"26670062","journalAbbreviation":"Soil Security","language":"en","page":"100175","source":"DOI.org (Crossref)","title":"Quantifying the connectivity dimension of the soil security assessment framework","volume":"17","author":[{"family":"Pachón Maldonado","given":"Julio C."},{"family":"Leonard","given":"Emma C."},{"family":"Field","given":"Damien J."},{"family":"McRobert","given":"Katie"},{"family":"Heath","given":"Richard"},{"family":"McBratney","given":"Alex B."}],"issued":{"date-parts":[["2024",12]]}}},{"id":436,"uris":["http://zotero.org/users/12055122/items/X7Z7Z2AI"],"itemData":{"id":436,"type":"article-journal","archive":"Scopus","container-title":"Agronomy for Sustainable Development","DOI":"10.1007/s13593-022-00864-7","issue":"1","title":"Sustainable soil management measures: a synthesis of stakeholder recommendations","URL":"https://www.scopus.com/inward/record.uri?eid=2-s2.0-85147307305&amp;doi=10.1007%2fs13593-022-00864-7&amp;partnerID=40&amp;md5=971903e304e551fe551e8e030438a0c3","volume":"43","author":[{"family":"Strauss","given":"V."},{"family":"Paul","given":"C."},{"family":"Dönmez","given":"C."},{"family":"Löbmann","given":"M."},{"family":"Helming","given":"K."}],"issued":{"date-parts":[["2023"]]}}},{"id":304,"uris":["http://zotero.org/users/12055122/items/3G9F6D3N"],"itemData":{"id":304,"type":"article-journal","archive":"Scopus","container-title":"Journal of Environmental Management","DOI":"10.1016/j.jenvman.2022.116581","title":"Barriers and opportunities of soil knowledge to address soil challenges: Stakeholders’ perspectives across Europe","URL":"https://www.scopus.com/inward/record.uri?eid=2-s2.0-85140922549&amp;doi=10.1016%2fj.jenvman.2022.116581&amp;partnerID=40&amp;md5=11af6689840db4760cbce2e379755529","volume":"325","author":[{"family":"Vanino","given":"S."},{"family":"Pirelli","given":"T."},{"family":"Di Bene","given":"C."},{"family":"Bøe","given":"F."},{"family":"Castanheira","given":"N."},{"family":"Chenu","given":"C."},{"family":"Cornu","given":"S."},{"family":"Feiza","given":"V."},{"family":"Fornara","given":"D."},{"family":"Heller","given":"O."},{"family":"Kasparinskis","given":"R."},{"family":"Keesstra","given":"S."},{"family":"Lasorella","given":"M.V."},{"family":"Madenoğlu","given":"S."},{"family":"Meurer","given":"K.H.E."},{"family":"O'Sullivan","given":"L."},{"family":"Peter","given":"N."},{"family":"Piccini","given":"C."},{"family":"Siebielec","given":"G."},{"family":"Smreczak","given":"B."},{"family":"Thorsøe","given":"M.H."},{"family":"Farina","given":"R."}],"issued":{"date-parts":[["2023"]]}}}],"schema":"https://github.com/citation-style-language/schema/raw/master/csl-citation.json"} </w:instrText>
      </w:r>
      <w:r w:rsidR="00391A14">
        <w:fldChar w:fldCharType="separate"/>
      </w:r>
      <w:r w:rsidR="00391A14" w:rsidRPr="00391A14">
        <w:t>(Chowdhury et al., 2023; Eggers et al., 2020; Pachón Maldonado et al., 2024; Strauss et al., 2023; Vanino et al., 2023)</w:t>
      </w:r>
      <w:r w:rsidR="00391A14">
        <w:fldChar w:fldCharType="end"/>
      </w:r>
      <w:r>
        <w:t>. We indicated the purpose of the MRV procedure i.e.</w:t>
      </w:r>
      <w:r w:rsidR="005A6AA0">
        <w:t xml:space="preserve"> </w:t>
      </w:r>
      <w:r>
        <w:t>the reason why it was developed : 1) voluntary carbon market</w:t>
      </w:r>
      <w:r w:rsidR="005A6AA0">
        <w:t xml:space="preserve"> </w:t>
      </w:r>
      <w:r>
        <w:t>i.e.</w:t>
      </w:r>
      <w:r w:rsidR="005A6AA0">
        <w:t xml:space="preserve"> </w:t>
      </w:r>
      <w:r>
        <w:t>a carbon market in which members are not legally compelled to reduce their emissions but do so voluntarily, 2) compliance carbon markets also known as mandatory markets, governed by national, regional, or provincial law and 3) certification i.e.</w:t>
      </w:r>
      <w:r w:rsidR="005A6AA0">
        <w:t xml:space="preserve"> </w:t>
      </w:r>
      <w:r>
        <w:t xml:space="preserve">a procedure to attribute a label </w:t>
      </w:r>
      <w:r w:rsidR="00391A14">
        <w:fldChar w:fldCharType="begin"/>
      </w:r>
      <w:r w:rsidR="00391A14">
        <w:instrText xml:space="preserve"> ADDIN ZOTERO_ITEM CSL_CITATION {"citationID":"jiYJxMcl","properties":{"formattedCitation":"(Batjes et al., 2024; Ceschia et al., 2025)","plainCitation":"(Batjes et al., 2024; Ceschia et al., 2025)","noteIndex":0},"citationItems":[{"id":2839,"uris":["http://zotero.org/users/12055122/items/PBHDU6DX"],"itemData":{"id":2839,"type":"article-journal","container-title":"Carbon Management","DOI":"10.1080/17583004.2024.2410812","ISSN":"1758-3004, 1758-3012","issue":"1","journalAbbreviation":"Carbon Management","language":"en","page":"2410812","source":"DOI.org (Crossref)","title":"Towards a modular, multi-ecosystem monitoring, reporting and verification (MRV) framework for soil organic carbon stock change assessment","volume":"15","author":[{"family":"Batjes","given":"Niels H."},{"family":"Ceschia","given":"Eric"},{"family":"Heuvelink","given":"Gerard B.M."},{"family":"Demenois","given":"Julien"},{"family":"Le Maire","given":"Guerric"},{"family":"Cardinael","given":"Rémi"},{"family":"Arias-Navarro","given":"Cristina"},{"family":"Van Egmond","given":"Fenny"}],"issued":{"date-parts":[["2024",12,31]]}}},{"id":3055,"uris":["http://zotero.org/users/12055122/items/YNR68N8B"],"itemData":{"id":3055,"type":"report","title":"Monitoring, reporting and verification of soil organic carbon stock changes at arable land: Cookbook for assessment in different MRV contexts and proposition of a harmonised approach - ORCASA Deliverable 4.2","author":[{"family":"Ceschia","given":"Eric"},{"family":"Ihasusta","given":"Ainhoa"},{"family":"Al Bitar","given":"Ahmad"},{"family":"Batjes","given":"Niels"},{"family":"Egmond","given":"Fenny","non-dropping-particle":"van"},{"family":"Heuvelink","given":"Gerard"},{"family":"Paul-Victor","given":"Cloé"},{"family":"Nogues","given":"Mathieu"},{"family":"Pontes","given":"Lisa"},{"family":"Reynders","given":"Suzanne"},{"family":"Wijmer","given":"Taeken"},{"family":"Karunaratne","given":"Senani"},{"family":"Macdonald","given":"Ben"},{"family":"Lanckriet","given":"Edouard"},{"family":"Ruau","given":"Célia"},{"family":"Juber","given":"Romane"},{"family":"Vira","given":"Julius"},{"family":"Kulmala","given":"Liisa"}],"issued":{"date-parts":[["2025"]]}}}],"schema":"https://github.com/citation-style-language/schema/raw/master/csl-citation.json"} </w:instrText>
      </w:r>
      <w:r w:rsidR="00391A14">
        <w:fldChar w:fldCharType="separate"/>
      </w:r>
      <w:r w:rsidR="00391A14" w:rsidRPr="00391A14">
        <w:t>(Batjes et al., 2024; Ceschia et al., 2025)</w:t>
      </w:r>
      <w:r w:rsidR="00391A14">
        <w:fldChar w:fldCharType="end"/>
      </w:r>
      <w:r>
        <w:t>. We recorded the actions that were implemented.</w:t>
      </w:r>
    </w:p>
    <w:p w14:paraId="45A7BA20" w14:textId="4CFB726D" w:rsidR="001223AC" w:rsidRDefault="00000000">
      <w:r>
        <w:t>Monitoring methodologies were divided in</w:t>
      </w:r>
      <w:r w:rsidR="007F00F4">
        <w:t xml:space="preserve"> </w:t>
      </w:r>
      <w:r>
        <w:t>: 1) information about land management, 2) spatial images, 3) on-site images with photos, 4) soil samples and 5) modelling (</w:t>
      </w:r>
      <w:proofErr w:type="spellStart"/>
      <w:r>
        <w:t>Batjes</w:t>
      </w:r>
      <w:proofErr w:type="spellEnd"/>
      <w:r>
        <w:t xml:space="preserve"> et al., 2024). When soil samples are used, we collected information about the sampling design: 1) the plot area and 2) the monitoring frequency i.e.</w:t>
      </w:r>
      <w:r w:rsidR="005A6AA0">
        <w:t xml:space="preserve"> </w:t>
      </w:r>
      <w:r>
        <w:t xml:space="preserve">duration between two monitoring sessions (less than every 5 years, between 5 and 10 years, between 10 and 15 years or more than 15 years as in </w:t>
      </w:r>
      <w:proofErr w:type="spellStart"/>
      <w:r>
        <w:t>Batjes</w:t>
      </w:r>
      <w:proofErr w:type="spellEnd"/>
      <w:r>
        <w:t xml:space="preserve"> et al. 2024). Soil parameters required in each MRV procedure were listed. We also recorded if sampling and/or analytical methods comply to existing standards (e.g.</w:t>
      </w:r>
      <w:r w:rsidR="005A6AA0">
        <w:t xml:space="preserve"> </w:t>
      </w:r>
      <w:r>
        <w:t xml:space="preserve">ISO). We described the format of the report (classical document or online platform, </w:t>
      </w:r>
      <w:r w:rsidR="00391A14">
        <w:fldChar w:fldCharType="begin"/>
      </w:r>
      <w:r w:rsidR="00364986">
        <w:instrText xml:space="preserve"> ADDIN ZOTERO_ITEM CSL_CITATION {"citationID":"k3rXz7wA","properties":{"formattedCitation":"(Andries et al., 2021)","plainCitation":"(Andries et al., 2021)","noteIndex":0},"citationItems":[{"id":117,"uris":["http://zotero.org/users/12055122/items/GY5DSAQF"],"itemData":{"id":117,"type":"article-journal","abstract":"Earth Observation (EO) techniques could offer a more cost-effective and rapid approach for reliable monitoring, reporting, and verification (MRV) of soil organic carbon (SOC). Here, we analyse the available published literature to assess whether it may be possible to estimate SOC using data from sensors mounted on satellites and airborne systems. This is complemented with research using a series of semi-structured interviews with experts in soil health and policy areas to understand the level of accuracy that is acceptable for MRV approaches for SOC. We also perform a cost-accuracy analysis of the approaches, including the use of EO techniques, for SOC assessment in the context of the new UK Environmental Land Management scheme. We summarise the state-of-the-art EO techniques for SOC assessment and identify 3 themes and 25 key suggestions and concerns for the MRV of SOC from the expert interviews. Notably, over three-quarters of the respondents considered that a ‘validation accuracy’ of 90% or better would be required from EO-based techniques to be acceptable as an effective system for the monitoring and reporting of SOC stocks. The cost-accuracy analysis revealed that a combination of EO technology and in situ sampling has the potential to offer a reliable, cost-effective approach to estimating SOC at a local scale (4 ha), although several challenges remain. We conclude by proposing an MRV framework for SOC that collates and integrates seven criteria for multiple data sources at the appropriate scales.","container-title":"Sustainability","DOI":"10.3390/su132112074","ISSN":"2071-1050","issue":"21","journalAbbreviation":"Sustainability","language":"en","page":"12074","source":"DOI.org (Crossref)","title":"Can Current Earth Observation Technologies Provide Useful Information on Soil Organic Carbon Stocks for Environmental Land Management Policy?","volume":"13","author":[{"family":"Andries","given":"Ana"},{"family":"Morse","given":"Stephen"},{"family":"Murphy","given":"Richard J."},{"family":"Lynch","given":"Jim"},{"family":"Mota","given":"Bernardo"},{"family":"Woolliams","given":"Emma R."}],"issued":{"date-parts":[["2021",11,1]]}}}],"schema":"https://github.com/citation-style-language/schema/raw/master/csl-citation.json"} </w:instrText>
      </w:r>
      <w:r w:rsidR="00391A14">
        <w:fldChar w:fldCharType="separate"/>
      </w:r>
      <w:r w:rsidR="00364986" w:rsidRPr="00364986">
        <w:t>Andries et al., 2021)</w:t>
      </w:r>
      <w:r w:rsidR="00391A14">
        <w:fldChar w:fldCharType="end"/>
      </w:r>
      <w:r>
        <w:t xml:space="preserve"> and the statistical methodology employed to compute the uncertainty of the results: 1) probabilistic methods corresponding to Markov chain Monte Carlo (MCMC) and Bayesian inference, 2) sensitivity analysis, i.e.</w:t>
      </w:r>
      <w:r w:rsidR="005A6AA0">
        <w:t xml:space="preserve"> </w:t>
      </w:r>
      <w:r>
        <w:t>the effect of the explanatory variables on the uncertainty of the results and 3) quantile distribution, with the representation and/or consideration of the quantiles in the result interpretation (</w:t>
      </w:r>
      <w:proofErr w:type="spellStart"/>
      <w:r>
        <w:t>Ceschia</w:t>
      </w:r>
      <w:proofErr w:type="spellEnd"/>
      <w:r>
        <w:t xml:space="preserve"> et al., </w:t>
      </w:r>
      <w:r w:rsidR="00364986">
        <w:t>2025</w:t>
      </w:r>
      <w:r>
        <w:t>). We recorded the methodology used to compute the reference values</w:t>
      </w:r>
      <w:r w:rsidR="005A6AA0">
        <w:t xml:space="preserve"> </w:t>
      </w:r>
      <w:r>
        <w:t>: 1) fixed value, 2) reference value, 3) data distribution, or 4) relative change (Matson et al. 2024)</w:t>
      </w:r>
      <w:r w:rsidR="005A6AA0">
        <w:t>.</w:t>
      </w:r>
      <w:r>
        <w:t xml:space="preserve"> Regarding verification, five information were listed: the scheme i.e. action-based or result-based (</w:t>
      </w:r>
      <w:proofErr w:type="spellStart"/>
      <w:r>
        <w:t>Batjes</w:t>
      </w:r>
      <w:proofErr w:type="spellEnd"/>
      <w:r>
        <w:t xml:space="preserve"> et al. 2024), the methodology i.e. soil sampling, satellite data, phone application or site inspection, its automatization, auditor </w:t>
      </w:r>
      <w:r w:rsidR="005A6AA0">
        <w:t>independence</w:t>
      </w:r>
      <w:r>
        <w:t xml:space="preserve"> and data access. Finally, we recorded if the MRV procedure was already implemented or under development and the country where the MRV procedure was/would be implemented.</w:t>
      </w:r>
    </w:p>
    <w:p w14:paraId="4E9C3E35" w14:textId="77777777" w:rsidR="001223AC" w:rsidRDefault="00000000">
      <w:pPr>
        <w:pStyle w:val="Heading2"/>
      </w:pPr>
      <w:bookmarkStart w:id="9" w:name="data-analysis"/>
      <w:bookmarkEnd w:id="5"/>
      <w:bookmarkEnd w:id="8"/>
      <w:r>
        <w:t>2.3. Data analysis</w:t>
      </w:r>
    </w:p>
    <w:p w14:paraId="5B0B5643" w14:textId="77777777" w:rsidR="001223AC" w:rsidRDefault="00000000">
      <w:pPr>
        <w:pStyle w:val="Heading3"/>
      </w:pPr>
      <w:bookmarkStart w:id="10" w:name="management-of-missing-information"/>
      <w:r>
        <w:t>2.3.1. Management of missing information</w:t>
      </w:r>
    </w:p>
    <w:p w14:paraId="5CF92E77" w14:textId="77777777" w:rsidR="001223AC" w:rsidRDefault="00000000">
      <w:r>
        <w:t>Once the data collection was done, we noticed a large part of missing information. As missing information could bias the results, in particular with categorical variables, we decided to keep in the analysis only variables that presented more than 70% MRV procedures with information.</w:t>
      </w:r>
    </w:p>
    <w:p w14:paraId="5E787B2C" w14:textId="77777777" w:rsidR="001223AC" w:rsidRDefault="00000000">
      <w:pPr>
        <w:pStyle w:val="Heading3"/>
      </w:pPr>
      <w:bookmarkStart w:id="11" w:name="data-description"/>
      <w:bookmarkEnd w:id="10"/>
      <w:r>
        <w:t>2.3.2. Data description</w:t>
      </w:r>
    </w:p>
    <w:p w14:paraId="4F1A2F0F" w14:textId="77777777" w:rsidR="001223AC" w:rsidRDefault="00000000">
      <w:r>
        <w:t>We pooled the data collected from the three search methods. We used the software R 4.3.0 and the library ggplot2 to build bar plots for each variable and a co-occurrence matrix between stakeholder' and MRV procedure' s characteristics.</w:t>
      </w:r>
    </w:p>
    <w:p w14:paraId="3A8C37C1" w14:textId="77777777" w:rsidR="001223AC" w:rsidRDefault="00000000">
      <w:pPr>
        <w:pStyle w:val="Heading3"/>
      </w:pPr>
      <w:bookmarkStart w:id="12" w:name="typology-of-mrv-procedures"/>
      <w:bookmarkEnd w:id="11"/>
      <w:r>
        <w:lastRenderedPageBreak/>
        <w:t>2.3.3. Typology of MRV procedures</w:t>
      </w:r>
    </w:p>
    <w:p w14:paraId="3043B0C5" w14:textId="4E14FF26" w:rsidR="001223AC" w:rsidRDefault="00000000">
      <w:r>
        <w:t xml:space="preserve">We implemented multiple component analysis (MCA, function MCA, package R </w:t>
      </w:r>
      <w:proofErr w:type="spellStart"/>
      <w:r>
        <w:t>FactomineR</w:t>
      </w:r>
      <w:proofErr w:type="spellEnd"/>
      <w:r>
        <w:t xml:space="preserve">, </w:t>
      </w:r>
      <w:r w:rsidR="00364986">
        <w:fldChar w:fldCharType="begin"/>
      </w:r>
      <w:r w:rsidR="00364986">
        <w:instrText xml:space="preserve"> ADDIN ZOTERO_ITEM CSL_CITATION {"citationID":"xQC9o2rD","properties":{"formattedCitation":"(L\\uc0\\u234{} et al., 2008)","plainCitation":"(Lê et al., 2008)","noteIndex":0},"citationItems":[{"id":3510,"uris":["http://zotero.org/users/12055122/items/SNTCE999"],"itemData":{"id":3510,"type":"article-journal","container-title":"Journal of Statistical Software","DOI":"10.18637/jss.v025.i01","ISSN":"1548-7660","issue":"1","journalAbbreviation":"J. Stat. Soft.","language":"en","source":"DOI.org (Crossref)","title":"&lt;b&gt;FactoMineR&lt;/b&gt; : An &lt;i&gt;R&lt;/i&gt; Package for Multivariate Analysis","title-short":"&lt;b&gt;FactoMineR&lt;/b&gt;","URL":"http://www.jstatsoft.org/v25/i01/","volume":"25","author":[{"family":"Lê","given":"Sébastien"},{"family":"Josse","given":"Julie"},{"family":"Husson","given":"François"}],"accessed":{"date-parts":[["2026",7,9]]},"issued":{"date-parts":[["2008"]]}}}],"schema":"https://github.com/citation-style-language/schema/raw/master/csl-citation.json"} </w:instrText>
      </w:r>
      <w:r w:rsidR="00364986">
        <w:fldChar w:fldCharType="separate"/>
      </w:r>
      <w:r w:rsidR="00364986" w:rsidRPr="00364986">
        <w:t>Lê et al., 2008)</w:t>
      </w:r>
      <w:r w:rsidR="00364986">
        <w:fldChar w:fldCharType="end"/>
      </w:r>
      <w:r>
        <w:t xml:space="preserve"> and a Hierarchical Clustering on Principle Components (HCPC, function HCPC, package </w:t>
      </w:r>
      <w:proofErr w:type="spellStart"/>
      <w:r>
        <w:t>FactoMineR</w:t>
      </w:r>
      <w:proofErr w:type="spellEnd"/>
      <w:r>
        <w:t xml:space="preserve">) to identify the groups of MRV procedures and the particular elements characterizing them. We computed a v-test and its p-value </w:t>
      </w:r>
      <w:r w:rsidR="00364986">
        <w:fldChar w:fldCharType="begin"/>
      </w:r>
      <w:r w:rsidR="00364986">
        <w:instrText xml:space="preserve"> ADDIN ZOTERO_ITEM CSL_CITATION {"citationID":"YkNR2gos","properties":{"formattedCitation":"(Husson et al., 2017)","plainCitation":"(Husson et al., 2017)","noteIndex":0},"citationItems":[{"id":3483,"uris":["http://zotero.org/users/12055122/items/YDID76PC"],"itemData":{"id":3483,"type":"book","call-number":"QA278 .H87 2017","edition":"Second edition","event-place":"Boca Raton","ISBN":"978-1-138-19634-6","number-of-pages":"248","publisher":"CRC Press","publisher-place":"Boca Raton","source":"Library of Congress ISBN","title":"Exploratory multivariate analysis by example using R","author":[{"family":"Husson","given":"François"},{"family":"Lê","given":"Sébastien"},{"family":"Pagès","given":"Jérôme"}],"issued":{"date-parts":[["2017"]]}}}],"schema":"https://github.com/citation-style-language/schema/raw/master/csl-citation.json"} </w:instrText>
      </w:r>
      <w:r w:rsidR="00364986">
        <w:fldChar w:fldCharType="separate"/>
      </w:r>
      <w:r w:rsidR="00364986" w:rsidRPr="00364986">
        <w:t>(Husson et al., 2017)</w:t>
      </w:r>
      <w:r w:rsidR="00364986">
        <w:fldChar w:fldCharType="end"/>
      </w:r>
      <w:r>
        <w:t>. We focused our analysis on the categories with 1) v-test&gt;2</w:t>
      </w:r>
      <w:r w:rsidR="005A6AA0">
        <w:t xml:space="preserve"> and </w:t>
      </w:r>
      <w:r>
        <w:t>2) a p-value&lt;0.05.</w:t>
      </w:r>
    </w:p>
    <w:p w14:paraId="2FE13E40" w14:textId="77777777" w:rsidR="001223AC" w:rsidRDefault="00000000">
      <w:pPr>
        <w:pStyle w:val="Heading3"/>
      </w:pPr>
      <w:bookmarkStart w:id="13" w:name="building-the-decision-tool"/>
      <w:bookmarkEnd w:id="12"/>
      <w:r>
        <w:t>2.3.4. Building the decision tool</w:t>
      </w:r>
    </w:p>
    <w:p w14:paraId="6F1DD811" w14:textId="77777777" w:rsidR="001223AC" w:rsidRDefault="00000000">
      <w:r>
        <w:t xml:space="preserve">We built a user-friendly interface to access our dataset, with Python </w:t>
      </w:r>
      <w:r>
        <w:rPr>
          <w:i/>
          <w:iCs/>
        </w:rPr>
        <w:t>version to add</w:t>
      </w:r>
      <w:r>
        <w:t>. The outputs are the MRV procedures with a card format, fitted to the context of the user. All the codes and datasets needed to run the decision tool are part of the appendices (Appendix 8).</w:t>
      </w:r>
    </w:p>
    <w:p w14:paraId="66F6F491" w14:textId="77777777" w:rsidR="001223AC" w:rsidRDefault="00000000">
      <w:pPr>
        <w:pStyle w:val="Heading1"/>
      </w:pPr>
      <w:bookmarkStart w:id="14" w:name="results"/>
      <w:bookmarkEnd w:id="3"/>
      <w:bookmarkEnd w:id="9"/>
      <w:bookmarkEnd w:id="13"/>
      <w:r>
        <w:t>3. Results</w:t>
      </w:r>
    </w:p>
    <w:p w14:paraId="2B114A33" w14:textId="236C5580" w:rsidR="001223AC" w:rsidRDefault="00000000">
      <w:r>
        <w:t>All sources pooled, nine scientific articles and 32 websites were selected (on 28 articles and 1211 websites collected, Appendix 1). In total, we found 96 MRV procedures. Only little information was provided in the documents we collected (Appendix 5). We did not include in the analysis variables with information missing for more than 30% of the MRV procedures: 1) regarding the monitoring,</w:t>
      </w:r>
      <w:r w:rsidR="005A6AA0">
        <w:t xml:space="preserve"> </w:t>
      </w:r>
      <w:r>
        <w:t>sampling frequency,</w:t>
      </w:r>
      <w:r w:rsidR="005A6AA0">
        <w:t xml:space="preserve"> </w:t>
      </w:r>
      <w:r>
        <w:t>standard methodologies, cost and plot area, 2) regarding the reporting, uncertainty measurement and threshold methodology, 3) considering the verification, methodology, automatization, auditor type and data sharing.</w:t>
      </w:r>
      <w:r w:rsidR="005A6AA0">
        <w:t xml:space="preserve"> </w:t>
      </w:r>
    </w:p>
    <w:p w14:paraId="3ABFD80B" w14:textId="77777777" w:rsidR="005A6AA0" w:rsidRDefault="005A6AA0"/>
    <w:p w14:paraId="5158531A" w14:textId="77777777" w:rsidR="001223AC" w:rsidRDefault="00000000">
      <w:r>
        <w:t>MRV procedures mainly took place in America, Oceania and Europe. Only few countries were covered in Africa and Asia (Figure 1).</w:t>
      </w:r>
    </w:p>
    <w:p w14:paraId="09536B4D" w14:textId="77777777" w:rsidR="005A6AA0" w:rsidRDefault="005A6AA0"/>
    <w:p w14:paraId="4478FEB6" w14:textId="77777777" w:rsidR="001223AC" w:rsidRDefault="00000000">
      <w:r>
        <w:t>Figure 1. Map of the number of MRV procedures taking place in each country</w:t>
      </w:r>
    </w:p>
    <w:p w14:paraId="70D06607" w14:textId="77777777" w:rsidR="001223AC" w:rsidRDefault="00000000">
      <w:r>
        <w:rPr>
          <w:noProof/>
        </w:rPr>
        <w:lastRenderedPageBreak/>
        <w:drawing>
          <wp:inline distT="0" distB="0" distL="0" distR="0" wp14:anchorId="6110EC61" wp14:editId="61493FD2">
            <wp:extent cx="6362700" cy="318135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Analysis_Task511_21-08-26_files/figure-docx/Map%20occurrence%20All-1.png"/>
                    <pic:cNvPicPr>
                      <a:picLocks noChangeAspect="1" noChangeArrowheads="1"/>
                    </pic:cNvPicPr>
                  </pic:nvPicPr>
                  <pic:blipFill>
                    <a:blip r:embed="rId13"/>
                    <a:stretch>
                      <a:fillRect/>
                    </a:stretch>
                  </pic:blipFill>
                  <pic:spPr bwMode="auto">
                    <a:xfrm>
                      <a:off x="0" y="0"/>
                      <a:ext cx="6362700" cy="3181350"/>
                    </a:xfrm>
                    <a:prstGeom prst="rect">
                      <a:avLst/>
                    </a:prstGeom>
                    <a:noFill/>
                    <a:ln w="9525">
                      <a:noFill/>
                      <a:headEnd/>
                      <a:tailEnd/>
                    </a:ln>
                  </pic:spPr>
                </pic:pic>
              </a:graphicData>
            </a:graphic>
          </wp:inline>
        </w:drawing>
      </w:r>
    </w:p>
    <w:p w14:paraId="05E7198D" w14:textId="77777777" w:rsidR="001223AC" w:rsidRDefault="00000000">
      <w:r>
        <w:t>More than 80% of the MRV procedures were already implemented (Appendix 5).</w:t>
      </w:r>
    </w:p>
    <w:p w14:paraId="0DCBE535" w14:textId="77777777" w:rsidR="001223AC" w:rsidRDefault="00000000">
      <w:pPr>
        <w:pStyle w:val="Heading2"/>
      </w:pPr>
      <w:bookmarkStart w:id="15" w:name="data-description-1"/>
      <w:r>
        <w:t>3.1. Data description</w:t>
      </w:r>
    </w:p>
    <w:p w14:paraId="39845FFA" w14:textId="34F077F0" w:rsidR="001223AC" w:rsidRDefault="00000000">
      <w:r>
        <w:t>Seventy-nine MRV procedures took place in agricultural areas (Fig. 2 a.). The other land uses and land covers were forests (22), peatlands or wetlands (9) and degraded lands (1, Fig. 2 a.).</w:t>
      </w:r>
      <w:r w:rsidR="005A6AA0">
        <w:t xml:space="preserve"> </w:t>
      </w:r>
      <w:r>
        <w:t>They took place mainly at local scale (62 MRV procedures)</w:t>
      </w:r>
      <w:r w:rsidR="005A6AA0">
        <w:t xml:space="preserve"> </w:t>
      </w:r>
      <w:r>
        <w:t>and then at regional scale (45) and national scale (18, Figure 6). Only two MRV procedures w</w:t>
      </w:r>
      <w:r w:rsidR="005A6AA0">
        <w:t xml:space="preserve">ere </w:t>
      </w:r>
      <w:r>
        <w:t>applied at continental or at Global scale.</w:t>
      </w:r>
    </w:p>
    <w:p w14:paraId="2662D7EF" w14:textId="3BE53249" w:rsidR="001223AC" w:rsidRDefault="00000000">
      <w:r>
        <w:t>A large diversity of occupations w</w:t>
      </w:r>
      <w:r w:rsidR="005A6AA0">
        <w:t>as</w:t>
      </w:r>
      <w:r>
        <w:t xml:space="preserve"> involved in the MRV procedures. The majority targeted farmers (59</w:t>
      </w:r>
      <w:r w:rsidR="005A6AA0">
        <w:t xml:space="preserve"> MRV procedures</w:t>
      </w:r>
      <w:r>
        <w:t xml:space="preserve">) and then consultants (40). At a lesser </w:t>
      </w:r>
      <w:r w:rsidR="005A6AA0">
        <w:t>extent</w:t>
      </w:r>
      <w:r>
        <w:t>, MRV procedures also included other occupations as public administrators (25), agroindustry (19), NGO (16), academia (15), project developers (12), foresters (11), forest companies (3), software developers (1) and other companies (5, Fig. 2 d.). Five purposes were found: voluntary and compliance carbon markets, certification and sustainability measures</w:t>
      </w:r>
      <w:r w:rsidR="005A6AA0">
        <w:t xml:space="preserve"> </w:t>
      </w:r>
      <w:r>
        <w:t>(Fig. 2 c.). The main purpose of the MRV procedure was by far, voluntary carbon market with 84 MRV procedures. The main actions was the change in agricultural practices (59 MRV procedures). They could be specified as mineral weathering, irrigation, grazing practices and biochar spreading. We found other very rare actions (less than five MRV procedures) as: afforestation and reforestation, restoration measures, deforestation, rewetting of peatlands and wetlands, forest management, fire management and land conversion (Fig. 2 e.).</w:t>
      </w:r>
    </w:p>
    <w:p w14:paraId="0FD526A5" w14:textId="77777777" w:rsidR="005A6AA0" w:rsidRDefault="005A6AA0"/>
    <w:p w14:paraId="3902A4B2" w14:textId="77777777" w:rsidR="001223AC" w:rsidRDefault="00000000">
      <w:r>
        <w:t>Figure 2. Number of MRV procedures according stakeholders’ characteristics: land uses and land covers (a.), geographical scales (b.), occupation (c.), purpose (d.) and the implemented actions (e.)</w:t>
      </w:r>
    </w:p>
    <w:p w14:paraId="35751556" w14:textId="77777777" w:rsidR="001223AC" w:rsidRDefault="00000000">
      <w:r>
        <w:rPr>
          <w:noProof/>
        </w:rPr>
        <w:lastRenderedPageBreak/>
        <w:drawing>
          <wp:inline distT="0" distB="0" distL="0" distR="0" wp14:anchorId="52223B6C" wp14:editId="064E79CD">
            <wp:extent cx="6362700" cy="636270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complete_figure.png"/>
                    <pic:cNvPicPr>
                      <a:picLocks noChangeAspect="1" noChangeArrowheads="1"/>
                    </pic:cNvPicPr>
                  </pic:nvPicPr>
                  <pic:blipFill>
                    <a:blip r:embed="rId14"/>
                    <a:stretch>
                      <a:fillRect/>
                    </a:stretch>
                  </pic:blipFill>
                  <pic:spPr bwMode="auto">
                    <a:xfrm>
                      <a:off x="0" y="0"/>
                      <a:ext cx="6362700" cy="6362700"/>
                    </a:xfrm>
                    <a:prstGeom prst="rect">
                      <a:avLst/>
                    </a:prstGeom>
                    <a:noFill/>
                    <a:ln w="9525">
                      <a:noFill/>
                      <a:headEnd/>
                      <a:tailEnd/>
                    </a:ln>
                  </pic:spPr>
                </pic:pic>
              </a:graphicData>
            </a:graphic>
          </wp:inline>
        </w:drawing>
      </w:r>
    </w:p>
    <w:p w14:paraId="67C04175" w14:textId="1B5749C8" w:rsidR="001223AC" w:rsidRDefault="00000000">
      <w:r>
        <w:t>Regarding monitoring, a total of 22 soil parameters were identified in the MRV procedures (Fig. 3 a.). Physical, chemical and biological parameters were assessed. The most frequent was soil organic matter and carbon, monitored in almost all of them</w:t>
      </w:r>
      <w:r w:rsidR="005A6AA0">
        <w:t xml:space="preserve"> </w:t>
      </w:r>
      <w:r>
        <w:t>(93 MRV procedures, Fig. 3 a.). In average, two parameters were assessed by MRV procedure. The minimum number was one parameter, and the maximum was nine for the procedure MRV WE020 (measurements include</w:t>
      </w:r>
      <w:r w:rsidR="00015B3B">
        <w:t>d</w:t>
      </w:r>
      <w:r>
        <w:t xml:space="preserve"> pH, soil organic matter, </w:t>
      </w:r>
      <w:r>
        <w:lastRenderedPageBreak/>
        <w:t xml:space="preserve">texture, bulk density, nutrient availability, </w:t>
      </w:r>
      <w:r w:rsidR="00015B3B">
        <w:t>greenhouse</w:t>
      </w:r>
      <w:r>
        <w:t xml:space="preserve"> gases, soil type, calcium carbonates, electrical conductivity and water holding capacity, Appendix 3). The most used monitoring methodology was modelling with 75 MRV procedures. Soil samples, spatial images and management information are also used in more than 50 MRV procedures. We also found a MRV procedure (MRV WE011) based on site images taken with a smart phone (Appendix 3).</w:t>
      </w:r>
    </w:p>
    <w:p w14:paraId="45E32F15" w14:textId="77777777" w:rsidR="00015B3B" w:rsidRDefault="00015B3B"/>
    <w:p w14:paraId="559C0EB4" w14:textId="77777777" w:rsidR="001223AC" w:rsidRDefault="00000000">
      <w:r>
        <w:t>Figure 3. Number of MRV procedures according to the included soil parameters (a.) and the type of data used for monitoring (b.)</w:t>
      </w:r>
    </w:p>
    <w:p w14:paraId="5EECEA21" w14:textId="77777777" w:rsidR="001223AC" w:rsidRDefault="00000000">
      <w:r>
        <w:rPr>
          <w:noProof/>
        </w:rPr>
        <w:lastRenderedPageBreak/>
        <w:drawing>
          <wp:inline distT="0" distB="0" distL="0" distR="0" wp14:anchorId="0BA35F9A" wp14:editId="15975E48">
            <wp:extent cx="6362700" cy="636270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combined_plot_monitoring.png"/>
                    <pic:cNvPicPr>
                      <a:picLocks noChangeAspect="1" noChangeArrowheads="1"/>
                    </pic:cNvPicPr>
                  </pic:nvPicPr>
                  <pic:blipFill>
                    <a:blip r:embed="rId15"/>
                    <a:stretch>
                      <a:fillRect/>
                    </a:stretch>
                  </pic:blipFill>
                  <pic:spPr bwMode="auto">
                    <a:xfrm>
                      <a:off x="0" y="0"/>
                      <a:ext cx="6362700" cy="6362700"/>
                    </a:xfrm>
                    <a:prstGeom prst="rect">
                      <a:avLst/>
                    </a:prstGeom>
                    <a:noFill/>
                    <a:ln w="9525">
                      <a:noFill/>
                      <a:headEnd/>
                      <a:tailEnd/>
                    </a:ln>
                  </pic:spPr>
                </pic:pic>
              </a:graphicData>
            </a:graphic>
          </wp:inline>
        </w:drawing>
      </w:r>
    </w:p>
    <w:p w14:paraId="41DECC8E" w14:textId="0BDD433F" w:rsidR="001223AC" w:rsidRDefault="00000000">
      <w:r>
        <w:t>Results were for 52 MRV procedures gathered in a classical report. An online platform was used for 29 MRV of them (Fig. 4 a.).</w:t>
      </w:r>
      <w:r w:rsidR="00015B3B">
        <w:t xml:space="preserve"> </w:t>
      </w:r>
      <w:r>
        <w:t>The verification was mainly based on the results (61 MRV procedures) and on the implementation of the actions for 20 MRV procedures (Fig. 4 b.).</w:t>
      </w:r>
    </w:p>
    <w:p w14:paraId="54555621" w14:textId="77777777" w:rsidR="00015B3B" w:rsidRDefault="00015B3B"/>
    <w:p w14:paraId="1B5A31E3" w14:textId="77777777" w:rsidR="001223AC" w:rsidRDefault="00000000">
      <w:r>
        <w:lastRenderedPageBreak/>
        <w:t>Figure 4. Number of MRV procedures according to the reporting format (a.) and the verification scheme (b.)</w:t>
      </w:r>
    </w:p>
    <w:p w14:paraId="6E38A42F" w14:textId="77777777" w:rsidR="001223AC" w:rsidRDefault="00000000">
      <w:r>
        <w:rPr>
          <w:noProof/>
        </w:rPr>
        <w:drawing>
          <wp:inline distT="0" distB="0" distL="0" distR="0" wp14:anchorId="6B08A0A2" wp14:editId="450754B2">
            <wp:extent cx="6362700" cy="318135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combined_plot_reporting_verification.png"/>
                    <pic:cNvPicPr>
                      <a:picLocks noChangeAspect="1" noChangeArrowheads="1"/>
                    </pic:cNvPicPr>
                  </pic:nvPicPr>
                  <pic:blipFill>
                    <a:blip r:embed="rId16"/>
                    <a:stretch>
                      <a:fillRect/>
                    </a:stretch>
                  </pic:blipFill>
                  <pic:spPr bwMode="auto">
                    <a:xfrm>
                      <a:off x="0" y="0"/>
                      <a:ext cx="6362700" cy="3181350"/>
                    </a:xfrm>
                    <a:prstGeom prst="rect">
                      <a:avLst/>
                    </a:prstGeom>
                    <a:noFill/>
                    <a:ln w="9525">
                      <a:noFill/>
                      <a:headEnd/>
                      <a:tailEnd/>
                    </a:ln>
                  </pic:spPr>
                </pic:pic>
              </a:graphicData>
            </a:graphic>
          </wp:inline>
        </w:drawing>
      </w:r>
    </w:p>
    <w:p w14:paraId="0DFF8D4C" w14:textId="77777777" w:rsidR="001223AC" w:rsidRDefault="00000000">
      <w:pPr>
        <w:pStyle w:val="Heading2"/>
      </w:pPr>
      <w:bookmarkStart w:id="16" w:name="Xb45fd4fc17f7caa2b0bb14c3af1811e87227e07"/>
      <w:bookmarkEnd w:id="15"/>
      <w:r>
        <w:t>3.2. Co-occurrence between stakeholders’ and MRVs’ characteristics</w:t>
      </w:r>
    </w:p>
    <w:p w14:paraId="67FD504E" w14:textId="768485E2" w:rsidR="001223AC" w:rsidRDefault="00000000">
      <w:r>
        <w:t>We looked more precisely at the link between the characteristics of the stakeholders and the MRV procedures, by focusing on the main co-occurrences between stakeholders’ and MRV procedures’ characteristics (i.e. more than 25 MRV procedures, Fig. 5).</w:t>
      </w:r>
      <w:r w:rsidR="00015B3B">
        <w:t xml:space="preserve"> </w:t>
      </w:r>
      <w:r>
        <w:t>In agricultural areas, organic matter and carbon was the only soil parameter included in more than 25 MRV procedures. All monitoring methodologies were very frequent, except on-site images. Both ways of result reporting were used in more than 25 MRV procedures. Verification was result-based for more than 25 MRV procedures.</w:t>
      </w:r>
      <w:r w:rsidR="00015B3B">
        <w:t xml:space="preserve"> </w:t>
      </w:r>
      <w:r>
        <w:t xml:space="preserve">At both local and regional scale, we noticed the same pattern for the monitoring par i.e. focused on soil organic matter and carbon, using a diversity of methodologies. Results were gathered in a classical </w:t>
      </w:r>
      <w:r w:rsidR="00015B3B">
        <w:t>report,</w:t>
      </w:r>
      <w:r>
        <w:t xml:space="preserve"> and the verification was result-based. For more than 25 MRV procedure, consultants monitored soil organic matter and carbon with modelling, using result-based verification.</w:t>
      </w:r>
      <w:r w:rsidR="00015B3B">
        <w:t xml:space="preserve"> </w:t>
      </w:r>
      <w:r>
        <w:t>Concerning farmers, they also focused on soil organic matter and carbon, without any preference for the methodology (except site images). Results were gathered in a classical report and the verificatio</w:t>
      </w:r>
      <w:r w:rsidR="00015B3B">
        <w:t>n</w:t>
      </w:r>
      <w:r>
        <w:t xml:space="preserve"> was result-based. As expected, regarding voluntary carbon market, more than 25 MRV procedures include soil organic matter and carbon. More than 50 were based on soil sampling and modelling and more than 25 on land management information or spatial images. Logically, when th</w:t>
      </w:r>
      <w:r w:rsidR="00015B3B">
        <w:t>e</w:t>
      </w:r>
      <w:r>
        <w:t xml:space="preserve"> implemented action was the change in agricultural practices, MRV procedures’ characteristics were the same as for farmers.</w:t>
      </w:r>
    </w:p>
    <w:p w14:paraId="7BFEAB8E" w14:textId="77777777" w:rsidR="001223AC" w:rsidRDefault="00000000">
      <w:r>
        <w:t>At a larger picture, a lot of combination stakeholders x MRV procedures did not exist or were not communicated yet.</w:t>
      </w:r>
    </w:p>
    <w:p w14:paraId="2DF86534" w14:textId="77777777" w:rsidR="00015B3B" w:rsidRDefault="00015B3B"/>
    <w:p w14:paraId="74086403" w14:textId="77777777" w:rsidR="001223AC" w:rsidRDefault="00000000">
      <w:r>
        <w:t>Figure 5. Co-occurrence between the characteristics of stakeholders and MRV procedures</w:t>
      </w:r>
    </w:p>
    <w:p w14:paraId="00F1C9FE" w14:textId="77777777" w:rsidR="001223AC" w:rsidRDefault="00000000">
      <w:r>
        <w:rPr>
          <w:noProof/>
        </w:rPr>
        <w:lastRenderedPageBreak/>
        <w:drawing>
          <wp:inline distT="0" distB="0" distL="0" distR="0" wp14:anchorId="45491598" wp14:editId="1FCE3566">
            <wp:extent cx="6362700" cy="3534833"/>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Analysis_Task511_21-08-26_files/figure-docx/Co-occurence%20heat%20map%20figure-1.png"/>
                    <pic:cNvPicPr>
                      <a:picLocks noChangeAspect="1" noChangeArrowheads="1"/>
                    </pic:cNvPicPr>
                  </pic:nvPicPr>
                  <pic:blipFill>
                    <a:blip r:embed="rId17"/>
                    <a:stretch>
                      <a:fillRect/>
                    </a:stretch>
                  </pic:blipFill>
                  <pic:spPr bwMode="auto">
                    <a:xfrm>
                      <a:off x="0" y="0"/>
                      <a:ext cx="6362700" cy="3534833"/>
                    </a:xfrm>
                    <a:prstGeom prst="rect">
                      <a:avLst/>
                    </a:prstGeom>
                    <a:noFill/>
                    <a:ln w="9525">
                      <a:noFill/>
                      <a:headEnd/>
                      <a:tailEnd/>
                    </a:ln>
                  </pic:spPr>
                </pic:pic>
              </a:graphicData>
            </a:graphic>
          </wp:inline>
        </w:drawing>
      </w:r>
    </w:p>
    <w:p w14:paraId="56DED556" w14:textId="77777777" w:rsidR="001223AC" w:rsidRDefault="00000000">
      <w:pPr>
        <w:pStyle w:val="Heading2"/>
      </w:pPr>
      <w:bookmarkStart w:id="17" w:name="X3040311c1b97da07d99a390eb1f9da6911d545b"/>
      <w:bookmarkEnd w:id="16"/>
      <w:r>
        <w:t>3.3. Typology of stakeholders and MRV procedures</w:t>
      </w:r>
    </w:p>
    <w:p w14:paraId="322F7467" w14:textId="15230039" w:rsidR="001223AC" w:rsidRDefault="00000000">
      <w:r>
        <w:t xml:space="preserve">We classified the MRV procedures into six </w:t>
      </w:r>
      <w:r w:rsidR="00015B3B">
        <w:t>groups,</w:t>
      </w:r>
      <w:r>
        <w:t xml:space="preserve"> and we highlighted their particular characteristics (Fig. 6). However, group 1 including two MRV procedures, was only characterized by missing information for stakeholder occupation (Fig. 6 a.).</w:t>
      </w:r>
      <w:r w:rsidR="00015B3B">
        <w:t xml:space="preserve"> </w:t>
      </w:r>
      <w:r>
        <w:t>Group 2 includes ten MRV procedures. It stood out from the other groups by covering local (all the MRV procedures), national (7),</w:t>
      </w:r>
      <w:r w:rsidR="00015B3B">
        <w:t xml:space="preserve"> </w:t>
      </w:r>
      <w:r>
        <w:t>continental (2) and global (2) scales and five occupation types that are public administrators (7), academia (7), NGOs (7), agroindustry (7) and consultancy (8, Fig.6 a.). This group is focused on the change in agricultural practices (9 MRV procedures, Fig. 6 a.). Another particularity was that, for a part of the MRV procedures, pH (8 MRV procedures), cationic exchange capacity (CEC, 3) soil moisture (6), water holding capacity (2), soil type (2), soil depth (4), nutrients (7), porosity (2), texture (3) and temperature (2) were monitored (Fig. 6 b.).</w:t>
      </w:r>
      <w:r w:rsidR="00015B3B">
        <w:t xml:space="preserve"> </w:t>
      </w:r>
      <w:r>
        <w:t>Group 3 was also very small with three MRV procedures (Fig.6). Its particularity is the absence of information regarding the geographical scale the MRV procedures took place and the presence of a MRV procedure assessing the impact of the change in grazing rate (Fig. 6 a.).</w:t>
      </w:r>
      <w:r w:rsidR="00015B3B">
        <w:t xml:space="preserve"> </w:t>
      </w:r>
      <w:r>
        <w:t xml:space="preserve">The largest group was the fourth with 56 MRV procedures (Fig. 6). It is characterized by a high specificity: the particularities were the implementation at local scale (for 42 MRV procedures) and not at national, continental nor Global scale (almost all the MRV procedures are not implemented at those scales, Fig. 6 a.). Another particularity was that these MRV procedures did not take place in peatlands or wetlands (55 MRV procedures). This group stand out by targeting farmers (45 MRV procedures) and not consultancy (42). Regarding implemented actions it was also focused on the change in agricultural practices (44). The absence of rarer actions </w:t>
      </w:r>
      <w:r w:rsidR="00015B3B">
        <w:t>was</w:t>
      </w:r>
      <w:r>
        <w:t xml:space="preserve"> also </w:t>
      </w:r>
      <w:r>
        <w:lastRenderedPageBreak/>
        <w:t>group 4’s particularities. Regarding monitoring, a particularity was that almost all the MRV procedures did not include pH (56), moisture (54), soil depth (53) nor nutrient (55, Fig. 6 b.). Different methodologies appeared as group 4’s particularities: soil sampling, spatial images and land management information (Fig. 6 b.). The use of online platform (for 22 MRV procedures) and not a classical report (22) to display the results was also a particularit</w:t>
      </w:r>
      <w:r w:rsidR="00015B3B">
        <w:t>y</w:t>
      </w:r>
      <w:r>
        <w:t xml:space="preserve"> of the group (Fig. 6 c.). The last one was that the verification was result-based (43) and not action-based (37, Fig. 6 c.).</w:t>
      </w:r>
      <w:r w:rsidR="00015B3B">
        <w:t xml:space="preserve"> </w:t>
      </w:r>
      <w:r>
        <w:t>Group 5 included only six MRV procedures (Fig. 6). Most of them focused on peatlands and wetlands (5 MRV procedures) and excluded agricultural areas (4), targeting project developers (4) for land restoration (3) and not change in agricultural practices (4, Fig. 6 a.). Another particularity was the monitoring of rare soil parameters that are subsidence (2) and soil depth (4, Fig. 6 b.). This group was also defined by missing information regarding monitoring methodology (Fig. 6 b.) and verification scheme (Fig. 6 c.).</w:t>
      </w:r>
      <w:r w:rsidR="00015B3B">
        <w:t xml:space="preserve"> </w:t>
      </w:r>
      <w:r>
        <w:t>The sixth group, with 19 MRV procedure was the second largest group. One of its particularities is to include 13 MRV procedures not taking place at local scale (Fig. 6 a.). It is also targeting consultancy (for all the MRV procedures) and not farmers (17), academia (all), NGOs (all) nor the agroindustry (18, Fig 6 a.). The implemented actions are not known for all of them (Fig. 6 a.). Regarding monitoring, bulk density was never assessed and the methodology was always modelling (Fig. 6 b.). The absence of soil sampling nor land management information was also a particularity of the group (Fig. 6 b.). It was also characterized by the absence of information regarding reporting format for 18 MRV procedures (Fig. 6 c.). Regarding verification, it was action-based (9) and not result-based (10).</w:t>
      </w:r>
    </w:p>
    <w:p w14:paraId="59074962" w14:textId="77777777" w:rsidR="00015B3B" w:rsidRDefault="00015B3B"/>
    <w:p w14:paraId="61915CEC" w14:textId="77777777" w:rsidR="001223AC" w:rsidRDefault="00000000">
      <w:r>
        <w:t>Figure 6. Number of MRV procedures per category in each group and of MRV procedures per category in each group and groups’ particularities</w:t>
      </w:r>
    </w:p>
    <w:p w14:paraId="20A6AAD8" w14:textId="77777777" w:rsidR="001223AC" w:rsidRDefault="00000000">
      <w:pPr>
        <w:numPr>
          <w:ilvl w:val="0"/>
          <w:numId w:val="5"/>
        </w:numPr>
      </w:pPr>
      <w:proofErr w:type="spellStart"/>
      <w:r>
        <w:lastRenderedPageBreak/>
        <w:t>Stakeholder’characteristics</w:t>
      </w:r>
      <w:proofErr w:type="spellEnd"/>
      <w:r>
        <w:t xml:space="preserve"> </w:t>
      </w:r>
      <w:r>
        <w:rPr>
          <w:noProof/>
        </w:rPr>
        <w:drawing>
          <wp:inline distT="0" distB="0" distL="0" distR="0" wp14:anchorId="44E340FA" wp14:editId="5D409621">
            <wp:extent cx="6362700" cy="572643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Analysis_Task511_21-08-26_files/figure-docx/Figure%20Clusters%20-%20Stakeholders-1.png"/>
                    <pic:cNvPicPr>
                      <a:picLocks noChangeAspect="1" noChangeArrowheads="1"/>
                    </pic:cNvPicPr>
                  </pic:nvPicPr>
                  <pic:blipFill>
                    <a:blip r:embed="rId18"/>
                    <a:stretch>
                      <a:fillRect/>
                    </a:stretch>
                  </pic:blipFill>
                  <pic:spPr bwMode="auto">
                    <a:xfrm>
                      <a:off x="0" y="0"/>
                      <a:ext cx="6362700" cy="5726430"/>
                    </a:xfrm>
                    <a:prstGeom prst="rect">
                      <a:avLst/>
                    </a:prstGeom>
                    <a:noFill/>
                    <a:ln w="9525">
                      <a:noFill/>
                      <a:headEnd/>
                      <a:tailEnd/>
                    </a:ln>
                  </pic:spPr>
                </pic:pic>
              </a:graphicData>
            </a:graphic>
          </wp:inline>
        </w:drawing>
      </w:r>
    </w:p>
    <w:p w14:paraId="34F4E388" w14:textId="77777777" w:rsidR="001223AC" w:rsidRDefault="00000000">
      <w:pPr>
        <w:numPr>
          <w:ilvl w:val="0"/>
          <w:numId w:val="5"/>
        </w:numPr>
      </w:pPr>
      <w:r>
        <w:lastRenderedPageBreak/>
        <w:t xml:space="preserve">Monitoring characteristics </w:t>
      </w:r>
      <w:r>
        <w:rPr>
          <w:noProof/>
        </w:rPr>
        <w:drawing>
          <wp:inline distT="0" distB="0" distL="0" distR="0" wp14:anchorId="11CC4BA1" wp14:editId="657E1895">
            <wp:extent cx="6362700" cy="6362700"/>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Analysis_Task511_21-08-26_files/figure-docx/Figure%20Clusters%20-%20Monitoring-1.png"/>
                    <pic:cNvPicPr>
                      <a:picLocks noChangeAspect="1" noChangeArrowheads="1"/>
                    </pic:cNvPicPr>
                  </pic:nvPicPr>
                  <pic:blipFill>
                    <a:blip r:embed="rId19"/>
                    <a:stretch>
                      <a:fillRect/>
                    </a:stretch>
                  </pic:blipFill>
                  <pic:spPr bwMode="auto">
                    <a:xfrm>
                      <a:off x="0" y="0"/>
                      <a:ext cx="6362700" cy="6362700"/>
                    </a:xfrm>
                    <a:prstGeom prst="rect">
                      <a:avLst/>
                    </a:prstGeom>
                    <a:noFill/>
                    <a:ln w="9525">
                      <a:noFill/>
                      <a:headEnd/>
                      <a:tailEnd/>
                    </a:ln>
                  </pic:spPr>
                </pic:pic>
              </a:graphicData>
            </a:graphic>
          </wp:inline>
        </w:drawing>
      </w:r>
    </w:p>
    <w:p w14:paraId="31C9A1B0" w14:textId="77777777" w:rsidR="001223AC" w:rsidRDefault="00000000">
      <w:pPr>
        <w:numPr>
          <w:ilvl w:val="0"/>
          <w:numId w:val="5"/>
        </w:numPr>
      </w:pPr>
      <w:r>
        <w:t>Reporting and Verification characteristics</w:t>
      </w:r>
    </w:p>
    <w:p w14:paraId="1F4CA924" w14:textId="77777777" w:rsidR="001223AC" w:rsidRDefault="00000000">
      <w:r>
        <w:rPr>
          <w:noProof/>
        </w:rPr>
        <w:lastRenderedPageBreak/>
        <w:drawing>
          <wp:inline distT="0" distB="0" distL="0" distR="0" wp14:anchorId="3181F5B4" wp14:editId="61BBD19B">
            <wp:extent cx="6362700" cy="3181350"/>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Analysis_Task511_21-08-26_files/figure-docx/Figure%20Clusters%20-%20Reporting%20-%20Verification-1.png"/>
                    <pic:cNvPicPr>
                      <a:picLocks noChangeAspect="1" noChangeArrowheads="1"/>
                    </pic:cNvPicPr>
                  </pic:nvPicPr>
                  <pic:blipFill>
                    <a:blip r:embed="rId20"/>
                    <a:stretch>
                      <a:fillRect/>
                    </a:stretch>
                  </pic:blipFill>
                  <pic:spPr bwMode="auto">
                    <a:xfrm>
                      <a:off x="0" y="0"/>
                      <a:ext cx="6362700" cy="3181350"/>
                    </a:xfrm>
                    <a:prstGeom prst="rect">
                      <a:avLst/>
                    </a:prstGeom>
                    <a:noFill/>
                    <a:ln w="9525">
                      <a:noFill/>
                      <a:headEnd/>
                      <a:tailEnd/>
                    </a:ln>
                  </pic:spPr>
                </pic:pic>
              </a:graphicData>
            </a:graphic>
          </wp:inline>
        </w:drawing>
      </w:r>
    </w:p>
    <w:p w14:paraId="5B019980" w14:textId="77777777" w:rsidR="001223AC" w:rsidRDefault="00000000">
      <w:pPr>
        <w:pStyle w:val="Heading2"/>
      </w:pPr>
      <w:bookmarkStart w:id="18" w:name="decision-tool"/>
      <w:bookmarkEnd w:id="17"/>
      <w:r>
        <w:t>3.5. Decision tool</w:t>
      </w:r>
    </w:p>
    <w:p w14:paraId="033C4096" w14:textId="48AC304E" w:rsidR="001223AC" w:rsidRDefault="00000000">
      <w:r>
        <w:t xml:space="preserve">To encourage knowledge transfer between scientists and non-scientists, we developed a decision tool to help users in the choice of an adapted MRV procedure for soil health. It is available online: </w:t>
      </w:r>
      <w:hyperlink r:id="rId21">
        <w:r w:rsidR="001223AC">
          <w:rPr>
            <w:rStyle w:val="Hyperlink"/>
          </w:rPr>
          <w:t>https://scraping-soil-monitoring-dzgswmvktuuc6ee2habdjo.streamlit.app/</w:t>
        </w:r>
      </w:hyperlink>
      <w:r>
        <w:t>. We used the card format to summarize the collected information. The welcome page explains the purpose of the tool and the information presented on each MRV card. Then, the user selects its context`s characteristics and the tool provide the MRV procedures with a level of similarity higher than 80%. The MRV procedures are presented with the format of cards.</w:t>
      </w:r>
      <w:r w:rsidR="00015B3B">
        <w:t xml:space="preserve"> </w:t>
      </w:r>
      <w:r>
        <w:t>The first page of the decision tool corresponds to the user (i.e. the stakeholder)’s characteristics : 1) On which land use do you want to apply the MRV procedure</w:t>
      </w:r>
      <w:r w:rsidR="00015B3B">
        <w:t xml:space="preserve"> </w:t>
      </w:r>
      <w:r>
        <w:t>?, 2) At which geographical scale do you want to apply the MRV procedure</w:t>
      </w:r>
      <w:r w:rsidR="00015B3B">
        <w:t xml:space="preserve"> </w:t>
      </w:r>
      <w:r>
        <w:t>?, 3) What is the purpose of the MRV procedure</w:t>
      </w:r>
      <w:r w:rsidR="00015B3B">
        <w:t xml:space="preserve"> </w:t>
      </w:r>
      <w:r>
        <w:t>?, 4) Which type of actions do you want to implement? and 5)</w:t>
      </w:r>
      <w:r w:rsidR="00015B3B">
        <w:t xml:space="preserve"> </w:t>
      </w:r>
      <w:r>
        <w:t>What is your occupation? After answering the previous questions, the MRV cards corresponding to these criteria are suggested. A second filtering, based on the choices of the user could be applied. The user can select the modalities that have to be included in the MRV procedure. The tool present</w:t>
      </w:r>
      <w:r w:rsidR="00015B3B">
        <w:t>s</w:t>
      </w:r>
      <w:r>
        <w:t xml:space="preserve"> all the MRV cards with a percentage of similarity S = number of items fitted with user’ wishes/total number of items.</w:t>
      </w:r>
    </w:p>
    <w:p w14:paraId="39867B02" w14:textId="77777777" w:rsidR="001223AC" w:rsidRDefault="00000000">
      <w:pPr>
        <w:pStyle w:val="Heading1"/>
      </w:pPr>
      <w:bookmarkStart w:id="19" w:name="discussion"/>
      <w:bookmarkEnd w:id="14"/>
      <w:bookmarkEnd w:id="18"/>
      <w:r>
        <w:t>4. Discussion</w:t>
      </w:r>
    </w:p>
    <w:p w14:paraId="2829FA9A" w14:textId="5D6932D2" w:rsidR="001223AC" w:rsidRDefault="00000000">
      <w:r>
        <w:t xml:space="preserve">With only nine scientific articles included in our literature review, the term MRV seems to be rarely used by soil scientists. A large part of scientific articles when mentioning MRV only focus on the monitoring part. The term MRV is more common in </w:t>
      </w:r>
      <w:r>
        <w:lastRenderedPageBreak/>
        <w:t>the private sector as shown by the higher number of MRV procedures coming from company websites, collected with web scraping. Our study illustrates the difference in terminology between academia and the private sector. These differences could lead to communication difficulties</w:t>
      </w:r>
      <w:r w:rsidR="00364986">
        <w:t xml:space="preserve"> </w:t>
      </w:r>
      <w:r w:rsidR="00364986">
        <w:fldChar w:fldCharType="begin"/>
      </w:r>
      <w:r w:rsidR="00364986">
        <w:instrText xml:space="preserve"> ADDIN ZOTERO_ITEM CSL_CITATION {"citationID":"kGY01HKj","properties":{"formattedCitation":"(Weninger et al., 2024)","plainCitation":"(Weninger et al., 2024)","noteIndex":0},"citationItems":[{"id":3176,"uris":["http://zotero.org/users/12055122/items/MILG6KVB"],"itemData":{"id":3176,"type":"article-journal","abstract":"Abstract\n            \n              European soils are under increasing pressure, making it difficult to maintain the provision of soil ecosystem services (SESs). A better understanding of soil processes is needed to counteract soil threats (STs) and to promote sustainable soil management. The EJP SOIL programme of the EU provides a framework for the necessary research. However, different definitions of soil‐related terms potentially lead to varied understandings of concepts. Furthermore, there are numerous indicators available to quantify STs or SESs. As unclear communication is a key barrier that hinders the implementation of research results into practice, this study aimed to answer the question about whether the terminology of large‐scale initiatives is adequately understood within the soil‐science community and non‐research stakeholders. An online questionnaire was used to provide definitions for 33 soil‐related terms in both scientific and plain language, as well as indicators for seven SESs and 11 STs. Participants were asked to rate their agreement with the definitions and indicators on a seven‐grade Likert scale. The level of agreement was calculated as the percentage of ratings above 4, the neutral position. The survey was available from June to September 2023 and was distributed by a snowball approach. More than 260 stakeholders assessed the survey; 70% of respondents were researchers, and 15% were practitioners. Mean agreement levels for the definitions and indicators were generally high, at 85% and 78% respectively. However, it was apparent that the lowest agreement was found for terms that are relatively new, such as\n              Ecosystem Services\n              and\n              Bundle\n              , or unfamiliar for certain subgroups, such as ecological terms for stakeholders working at the farm scale. Due to their distinct majority, the results of this study primarily reflect the opinions of scientists. Thus, broad conclusions can only be drawn by comparing scientists with non‐scientists. In this regard, the agreement was surprisingly high across all types of questions. The combined outcomes indicate that there is still a need to facilitate communication between stakeholders and to improve knowledge distribution strategies. Nevertheless, this study can support and be used by future projects and programmes, especially regarding the harmonization of terminology and methods.","container-title":"European Journal of Soil Science","DOI":"10.1111/ejss.13476","ISSN":"1351-0754, 1365-2389","issue":"2","journalAbbreviation":"European J Soil Science","language":"en","page":"e13476","source":"DOI.org (Crossref)","title":"Do we speak one language on the way to sustainable soil management in Europe? A terminology check via an &lt;span style=\"font-variant:small-caps;\"&gt;EU&lt;/span&gt; ‐wide survey","title-short":"Do we speak one language on the way to sustainable soil management in Europe?","volume":"75","author":[{"family":"Weninger","given":"Thomas"},{"family":"Ramler","given":"David"},{"family":"Bondi","given":"Giulia"},{"family":"Asins","given":"Sabina"},{"family":"O'Sullivan","given":"Lilian"},{"family":"Assennato","given":"Francesca"},{"family":"Astover","given":"Alar"},{"family":"Bispo","given":"Antonio"},{"family":"Borůvka","given":"Luboš"},{"family":"Buttafuoco","given":"Gabriele"},{"family":"Calzolari","given":"Costanza"},{"family":"Castanheira","given":"Nádia"},{"family":"Cousin","given":"Isabelle"},{"family":"Van Den Elsen","given":"Erik"},{"family":"Foldal","given":"Cecilie"},{"family":"Hessel","given":"Rudi"},{"family":"Kadžiulienė","given":"Žydrė"},{"family":"Kukk","given":"Liia"},{"family":"Molina","given":"Maria J."},{"family":"Montagne","given":"David"},{"family":"Oorts","given":"Katrien"},{"family":"Pindral","given":"Sylwia"},{"family":"Ungaro","given":"Fabrizio"},{"family":"Klimkowicz‐Pawlas","given":"Agnieszka"}],"issued":{"date-parts":[["2024",3]]}}}],"schema":"https://github.com/citation-style-language/schema/raw/master/csl-citation.json"} </w:instrText>
      </w:r>
      <w:r w:rsidR="00364986">
        <w:fldChar w:fldCharType="separate"/>
      </w:r>
      <w:r w:rsidR="00364986" w:rsidRPr="00364986">
        <w:t>(Weninger et al., 2024)</w:t>
      </w:r>
      <w:r w:rsidR="00364986">
        <w:fldChar w:fldCharType="end"/>
      </w:r>
      <w:r>
        <w:t xml:space="preserve">. However, scientists implement MRV procedures without calling them like this: they monitor soils, verify their data and report the results in the form of scientific articles. National soil monitoring networks are good examples of these “hidden” MRV procedures </w:t>
      </w:r>
      <w:r w:rsidR="00364986">
        <w:fldChar w:fldCharType="begin"/>
      </w:r>
      <w:r w:rsidR="00364986">
        <w:instrText xml:space="preserve"> ADDIN ZOTERO_ITEM CSL_CITATION {"citationID":"TxZK0hr4","properties":{"formattedCitation":"(Imbert et al., 2024)","plainCitation":"(Imbert et al., 2024)","noteIndex":0},"citationItems":[{"id":3473,"uris":["http://zotero.org/users/12055122/items/3KQSTFZU"],"itemData":{"id":3473,"type":"speech","event-place":"Florence, Italy","event-title":"IUSS","publisher-place":"Florence, Italy","title":"Designing Monitoring Reporting Verification for promoting healthy soils","author":[{"family":"Imbert","given":"C."},{"family":"Berlin","given":"Alexander"},{"family":"Brown","given":"Claire"},{"family":"Critchley","given":"Megan"},{"family":"Kapos","given":"V."},{"family":"Pulleman","given":"Mirjam"},{"family":"Rusch","given":"Graciela"},{"family":"Tokpah","given":"Kollie"},{"family":"Volkmann","given":"Fabio"},{"family":"Paul","given":"Carsten"}],"issued":{"date-parts":[["2024"]]}}}],"schema":"https://github.com/citation-style-language/schema/raw/master/csl-citation.json"} </w:instrText>
      </w:r>
      <w:r w:rsidR="00364986">
        <w:fldChar w:fldCharType="separate"/>
      </w:r>
      <w:r w:rsidR="00364986" w:rsidRPr="00364986">
        <w:t>(Imbert et al., 2024)</w:t>
      </w:r>
      <w:r w:rsidR="00364986">
        <w:fldChar w:fldCharType="end"/>
      </w:r>
      <w:r>
        <w:t>.</w:t>
      </w:r>
      <w:r w:rsidR="00015B3B">
        <w:t xml:space="preserve"> </w:t>
      </w:r>
      <w:r>
        <w:t>Major characteristics of MRV procedures were discarded from the analysis due to lack of information. We are missing knowledge on: sampling designs (plot area, sampling frequency), costs, uncertainty reporting, verification provider and data sharing or availability. Again, we encourage the providers of MRV procedures to clearly communicate about those later points to avoid suspicion of green washing.</w:t>
      </w:r>
      <w:r w:rsidR="00015B3B">
        <w:t xml:space="preserve"> </w:t>
      </w:r>
      <w:r>
        <w:t xml:space="preserve">In our study, very few MRV procedures found took place in Africa or Asia. This result was surprising because compensation using carbon credits by reforestation mainly takes place in the countries of the Global South so in Africa, Asia, Oceania (Australia and New Zealand excluded) and Latin America </w:t>
      </w:r>
      <w:r w:rsidR="00364986">
        <w:fldChar w:fldCharType="begin"/>
      </w:r>
      <w:r w:rsidR="00364986">
        <w:instrText xml:space="preserve"> ADDIN ZOTERO_ITEM CSL_CITATION {"citationID":"yUNXR4Zi","properties":{"formattedCitation":"(Cheong, 2025)","plainCitation":"(Cheong, 2025)","noteIndex":0},"citationItems":[{"id":3475,"uris":["http://zotero.org/users/12055122/items/Q9PJNGD8"],"itemData":{"id":3475,"type":"article-journal","abstract":"Abstract\n            \n              Carbon credit systems have emerged as a key policy tool in global efforts to mitigate climate change. Under these market-based schemes, entities that reduce greenhouse gas emissions below a specified cap are issued tradable credits that can be sold to entities exceeding their emissions allowances. In theory, this creates financial incentives for emissions reductions and allows reductions to occur where they are most cost-effective. However, this Policy Analysis argues that the increasing reliance on global carbon markets as a climate solution is deeply problematic and paradoxical. Drawing on interdisciplinary perspectives from environmental economics, law, ethics, and political ecology, I explore the problem through a theoretical framework elucidating the inherent limitations and fallacies underpinning carbon credit approaches. I contend that carbon markets (1) fail to produce real, verifiable emissions reductions; (2) exacerbate global inequities and undermine climate justice; (3) distort climate policy by emphasising cost-effectiveness over ecological necessity; and (4) delay the structural economic changes needed to achieve deep decarbonisation. My analysis is supported by a narrative review of the literature, case studies, and empirical evidence. This Policy Analysis concludes by proposing alternative climate mitigation approaches that could help transcend the paradoxes of global carbon credits, including accelerating fossil fuel phaseouts, scaling up public investment in low-carbon infrastructure, advancing climate justice principles, and rethinking carbon accounting frameworks.\n              Article Highlights\n              \n                \n                  Carbon credit systems have emerged as a key policy tool for mitigating climate change, but their effectiveness and equity are increasingly being questioned.\n                \n                \n                  This Policy Analysis explores the problem through a theoretical framework that elucidates four major paradoxes and limitations of carbon markets.\n                \n                \n                  The analysis draws on interdisciplinary perspectives and is supported by a narrative review of the literature, case studies, and empirical evidence.\n                \n                \n                  The Policy Analysis proposes alternative climate mitigation approaches that could help transcend the paradoxes of global carbon credits.\n                \n                \n                  Developing effective and equitable climate change mitigation policies in the coming decades will require moving beyond the limitations of carbon markets.\n                \n              \n            \n            \n              Graphical Abstract","container-title":"Anthropocene Science","DOI":"10.1007/s44177-025-00084-0","ISSN":"2731-3980","issue":"1-2","journalAbbreviation":"Anthr. Sci.","language":"en","page":"72-83","source":"DOI.org (Crossref)","title":"The Paradox and Fallacy of Global Carbon Credits: A Theoretical Framework for Strengthening Climate Change Mitigation Strategies","title-short":"The Paradox and Fallacy of Global Carbon Credits","volume":"4","author":[{"family":"Cheong","given":"Ben Chester"}],"issued":{"date-parts":[["2025",6,16]]}}}],"schema":"https://github.com/citation-style-language/schema/raw/master/csl-citation.json"} </w:instrText>
      </w:r>
      <w:r w:rsidR="00364986">
        <w:fldChar w:fldCharType="separate"/>
      </w:r>
      <w:r w:rsidR="00364986" w:rsidRPr="00364986">
        <w:t>(Cheong, 2025)</w:t>
      </w:r>
      <w:r w:rsidR="00364986">
        <w:fldChar w:fldCharType="end"/>
      </w:r>
      <w:r>
        <w:t>. Possible explanations would be that the term MRV is not used by all the actors of the private sector or that these MRV procedures do not include soil parameters. Thus, this might be a limitation of our study.</w:t>
      </w:r>
      <w:r w:rsidR="00015B3B">
        <w:t xml:space="preserve"> </w:t>
      </w:r>
      <w:r>
        <w:t>The majority of the MRV procedures involved farmers willing to get involved in the voluntary carbon market, by changing their agricultural practices. In this way, our study illustrates the hegemony of the voluntary carbon market in the MRV context. In parallel to carbon markets, certain MRV procedures were designed to help stakeholders in decision making (MRV WE019 and MRV WE040). The aim of these MRV procedures is to give indications to farmers to improve farm management. The farmer chooses to spend money on soil monitoring and compensate this investment with better management (more efficient use of intrants mainly).</w:t>
      </w:r>
      <w:r w:rsidR="00015B3B">
        <w:t xml:space="preserve"> </w:t>
      </w:r>
      <w:r>
        <w:t xml:space="preserve">Among the implemented actions, we found four MRV procedures assessing the effect of deforestation on soils i.e. the disturbance caused on soils. In the French framework “avoid, reduce, compensate” (corresponding to the European no net loss, </w:t>
      </w:r>
      <w:hyperlink r:id="rId22">
        <w:r w:rsidR="001223AC">
          <w:rPr>
            <w:rStyle w:val="Hyperlink"/>
          </w:rPr>
          <w:t>https://environment.ec.europa.eu/topics/nature-and-biodiversity/nature-restoration-regulation_en</w:t>
        </w:r>
      </w:hyperlink>
      <w:r>
        <w:t xml:space="preserve">), this MRV procedure corresponds to a “compensation” whereas MRV procedures assessing the effect of other actions (e.g. change in agricultural practices, reforestation, implementation of conservation measures) correspond to “reduction” procedures. Regarding monitoring methodology, there is a trade-off between costs and accuracy </w:t>
      </w:r>
      <w:r w:rsidR="00364986">
        <w:fldChar w:fldCharType="begin"/>
      </w:r>
      <w:r w:rsidR="00364986">
        <w:instrText xml:space="preserve"> ADDIN ZOTERO_ITEM CSL_CITATION {"citationID":"RA6cNKqx","properties":{"formattedCitation":"(Ihasusta et al., 2026)","plainCitation":"(Ihasusta et al., 2026)","noteIndex":0},"citationItems":[{"id":3185,"uris":["http://zotero.org/users/12055122/items/2J26U476"],"itemData":{"id":3185,"type":"article-journal","container-title":"Carbon Management","DOI":"10.1080/17583004.2026.2638317","ISSN":"1758-3004, 1758-3012","issue":"1","journalAbbreviation":"Carbon Management","language":"en","page":"2638317","source":"DOI.org (Crossref)","title":"Choosing the appropriate methodology to monitor soil organic carbon (SOC) in croplands: aligning methods with evolving monitoring reporting verification (MRV) frameworks","title-short":"Choosing the appropriate methodology to monitor soil organic carbon (SOC) in croplands","volume":"17","author":[{"family":"Ihasusta","given":"Ainhoa"},{"family":"Al Bitar","given":"Ahmad"},{"family":"Batjes","given":"Niels H."},{"family":"Van Egmond","given":"Fenny"},{"family":"Cardinael","given":"Rémi"},{"family":"Karunaratne","given":"Senani"},{"family":"Barré","given":"Pierre"},{"family":"Arnaud","given":"Ludovic"},{"family":"Heuvelink","given":"Gerard"},{"family":"Macdonald","given":"Ben"},{"family":"Wijmer","given":"Taeken"},{"family":"Demenois","given":"Julien"},{"family":"Paul-Victor","given":"Cloé"},{"family":"Reynders","given":"Suzanne"},{"family":"Ceschia","given":"Eric"}],"issued":{"date-parts":[["2026",12,31]]}}}],"schema":"https://github.com/citation-style-language/schema/raw/master/csl-citation.json"} </w:instrText>
      </w:r>
      <w:r w:rsidR="00364986">
        <w:fldChar w:fldCharType="separate"/>
      </w:r>
      <w:r w:rsidR="00364986" w:rsidRPr="00364986">
        <w:t>(Ihasusta et al., 2026)</w:t>
      </w:r>
      <w:r w:rsidR="00364986">
        <w:fldChar w:fldCharType="end"/>
      </w:r>
      <w:r>
        <w:t>. In general, soil sampling is more accurate than modelling (</w:t>
      </w:r>
      <w:proofErr w:type="spellStart"/>
      <w:r>
        <w:t>Batjes</w:t>
      </w:r>
      <w:proofErr w:type="spellEnd"/>
      <w:r>
        <w:t xml:space="preserve"> et al., 2024). However, modelling is more frequently used because it is faster and cheaper to implement. It could be associated with soil sampling that is called “measure-remeasure” to validate the model. It could also be used alone and based on values from other locations.</w:t>
      </w:r>
      <w:r w:rsidR="00FA031C">
        <w:t xml:space="preserve"> </w:t>
      </w:r>
      <w:r>
        <w:t>Surprisingly, verification was more often result-based than action-based. We could think that action-based would be the most frequent, as it requires only a field visit, it is more rapid and so cheaper to implement than result based, requiring a new soil assessment. As based on a second monitoring session, result-based verification is more accurate than action-based.</w:t>
      </w:r>
      <w:r w:rsidR="00FA031C">
        <w:t xml:space="preserve"> </w:t>
      </w:r>
      <w:r>
        <w:t>We classified the MRV procedures into six groups and identified their particularities (Fig. 6). They were well distinct: the largest group (Group 4) focused on agriculture with farmers and consultants, adopt</w:t>
      </w:r>
      <w:r w:rsidR="009B205B">
        <w:t>ed</w:t>
      </w:r>
      <w:r>
        <w:t xml:space="preserve"> a large variety of monitoring methodologies, report</w:t>
      </w:r>
      <w:r w:rsidR="009B205B">
        <w:t>ed</w:t>
      </w:r>
      <w:r>
        <w:t xml:space="preserve"> the results on an online platform and the verification </w:t>
      </w:r>
      <w:r w:rsidR="009B205B">
        <w:t>was</w:t>
      </w:r>
      <w:r>
        <w:t xml:space="preserve"> result-based. The second largest group (Group 6) targeted consultants and </w:t>
      </w:r>
      <w:r w:rsidR="009B205B">
        <w:t>was</w:t>
      </w:r>
      <w:r>
        <w:t xml:space="preserve"> based on modelling. The verification </w:t>
      </w:r>
      <w:r w:rsidR="009B205B">
        <w:t>was</w:t>
      </w:r>
      <w:r>
        <w:t xml:space="preserve"> action-based. The other groups were very </w:t>
      </w:r>
      <w:r>
        <w:lastRenderedPageBreak/>
        <w:t>small and specific: group 3 was focused on the effect of grazing rate and group 5 on peatland and wetland restoration. Group 1 was characterized by the absence of information regarding stakeholder occupation.</w:t>
      </w:r>
    </w:p>
    <w:p w14:paraId="26233CA8" w14:textId="20E055F9" w:rsidR="009B205B" w:rsidRDefault="009B205B" w:rsidP="009B205B">
      <w:pPr>
        <w:pStyle w:val="Heading1"/>
      </w:pPr>
      <w:r>
        <w:t>5</w:t>
      </w:r>
      <w:r>
        <w:t>.</w:t>
      </w:r>
      <w:r>
        <w:t xml:space="preserve"> </w:t>
      </w:r>
      <w:r>
        <w:t>Conclusion and perspectives</w:t>
      </w:r>
    </w:p>
    <w:p w14:paraId="53AC1037" w14:textId="78508477" w:rsidR="001223AC" w:rsidRDefault="00000000">
      <w:r>
        <w:t>This study sheds light upon an overview of MRV procedures including soils. It bridges the scientific gap, previously completed by studies focused on the most common ones, i.e. carbon market in the agricultural context (</w:t>
      </w:r>
      <w:proofErr w:type="spellStart"/>
      <w:r>
        <w:t>Batjes</w:t>
      </w:r>
      <w:proofErr w:type="spellEnd"/>
      <w:r>
        <w:t xml:space="preserve"> et al., 2024). In soil science community, MRV is an emergent framework, and we strongly encourage soil scientists to employ the term MRV in their publications to engage in communication with the private sector. We also encourage the providers of MRV procedures to clearly communicate to avoid suspicion of green washing. Indeed, major information as sampling design or costs were often inaccessible or scarce. </w:t>
      </w:r>
      <w:r w:rsidR="00FA031C">
        <w:t xml:space="preserve">Regarding costs, </w:t>
      </w:r>
      <w:r w:rsidR="00FA031C" w:rsidRPr="00364986">
        <w:t>Vanderheyden et al., 2026</w:t>
      </w:r>
      <w:r w:rsidR="00FA031C">
        <w:t xml:space="preserve"> assessed them for carbon farming between 4000 and 6000 euros per farm.</w:t>
      </w:r>
      <w:r>
        <w:t xml:space="preserve"> </w:t>
      </w:r>
      <w:r w:rsidR="00FA031C">
        <w:t>In the present study, w</w:t>
      </w:r>
      <w:r>
        <w:t>e succeeded in building a typology of MRV procedures and to develop a decision tool to make our work easily accessible to as many people as possible.</w:t>
      </w:r>
      <w:r w:rsidR="00FA031C">
        <w:t xml:space="preserve"> </w:t>
      </w:r>
      <w:r>
        <w:t xml:space="preserve">The next step is to understand how to pass from a (mainly) carbon-focused MRV procedure to a broader one, assessing soil health. Several strategies are used to assess soil </w:t>
      </w:r>
      <w:r w:rsidR="00FA031C">
        <w:t>health,</w:t>
      </w:r>
      <w:r>
        <w:t xml:space="preserve"> but they can give contradictory results (Zwaan et al., 2026). A recent study, based on expert knowledge, advised the monitoring listed around thirty parameters, related to soil, topography and climate to properly assess soil health (Vazquez, et al., 2025). To narrow down, the second step was to rank by importance, these parameters according to the pedo-climatic context (Vazquez et al., in progress). Thus, with a maximum of nine parameters assessed, existing MRV procedures do not currently cover soil health. They could be completed with new soil parameters, but the major problem stays the cost.</w:t>
      </w:r>
    </w:p>
    <w:p w14:paraId="0AF6F203" w14:textId="77777777" w:rsidR="001223AC" w:rsidRDefault="00000000">
      <w:pPr>
        <w:pStyle w:val="Heading1"/>
      </w:pPr>
      <w:bookmarkStart w:id="20" w:name="references"/>
      <w:bookmarkEnd w:id="19"/>
      <w:r>
        <w:t>6. References</w:t>
      </w:r>
    </w:p>
    <w:p w14:paraId="207AE0A5" w14:textId="77777777" w:rsidR="00364986" w:rsidRPr="00364986" w:rsidRDefault="00364986" w:rsidP="00364986">
      <w:pPr>
        <w:pStyle w:val="Bibliography"/>
      </w:pPr>
      <w:r>
        <w:fldChar w:fldCharType="begin"/>
      </w:r>
      <w:r>
        <w:instrText xml:space="preserve"> ADDIN ZOTERO_BIBL {"uncited":[],"omitted":[],"custom":[]} CSL_BIBLIOGRAPHY </w:instrText>
      </w:r>
      <w:r>
        <w:fldChar w:fldCharType="separate"/>
      </w:r>
      <w:r w:rsidRPr="00364986">
        <w:t>Altieri, M.A., Nicholls, C.I., Henao, A., Lana, M.A., 2015. Agroecology and the design of climate change-resilient farming systems. Agron. Sustain. Dev. 35, 869–890. https://doi.org/10.1007/s13593-015-0285-2</w:t>
      </w:r>
    </w:p>
    <w:p w14:paraId="2508EE76" w14:textId="77777777" w:rsidR="00364986" w:rsidRPr="00364986" w:rsidRDefault="00364986" w:rsidP="00364986">
      <w:pPr>
        <w:pStyle w:val="Bibliography"/>
      </w:pPr>
      <w:r w:rsidRPr="00364986">
        <w:t>Andries, A., Morse, S., Murphy, R.J., Lynch, J., Mota, B., Woolliams, E.R., 2021. Can Current Earth Observation Technologies Provide Useful Information on Soil Organic Carbon Stocks for Environmental Land Management Policy? Sustainability 13, 12074. https://doi.org/10.3390/su132112074</w:t>
      </w:r>
    </w:p>
    <w:p w14:paraId="62B0FA82" w14:textId="77777777" w:rsidR="00364986" w:rsidRPr="00364986" w:rsidRDefault="00364986" w:rsidP="00364986">
      <w:pPr>
        <w:pStyle w:val="Bibliography"/>
      </w:pPr>
      <w:r w:rsidRPr="00364986">
        <w:t>Bárcena, T.G., Kiær, L.P., Vesterdal, L., Stefánsdóttir, H.M., Gundersen, P., Sigurdsson, B.D., 2014. Soil carbon stock change following afforestation in Northern Europe: a meta‐analysis. Global Change Biology 20, 2393–2405. https://doi.org/10.1111/gcb.12576</w:t>
      </w:r>
    </w:p>
    <w:p w14:paraId="3A873EAB" w14:textId="77777777" w:rsidR="00364986" w:rsidRPr="00364986" w:rsidRDefault="00364986" w:rsidP="00364986">
      <w:pPr>
        <w:pStyle w:val="Bibliography"/>
      </w:pPr>
      <w:r w:rsidRPr="00364986">
        <w:t>Batjes, N.H., Ceschia, E., Heuvelink, G.B.M., Demenois, J., Le Maire, G., Cardinael, R., Arias-Navarro, C., Van Egmond, F., 2024. Towards a modular, multi-ecosystem monitoring, reporting and verification (MRV) framework for soil organic carbon stock change assessment. Carbon Management 15, 2410812. https://doi.org/10.1080/17583004.2024.2410812</w:t>
      </w:r>
    </w:p>
    <w:p w14:paraId="717C001B" w14:textId="77777777" w:rsidR="00364986" w:rsidRPr="00364986" w:rsidRDefault="00364986" w:rsidP="00364986">
      <w:pPr>
        <w:pStyle w:val="Bibliography"/>
      </w:pPr>
      <w:r w:rsidRPr="00364986">
        <w:t>Ceschia, E., Ihasusta, A., Al Bitar, A., Batjes, N., van Egmond, F., Heuvelink, G., Paul-Victor, C., Nogues, M., Pontes, L., Reynders, S., Wijmer, T., Karunaratne, S., Macdonald, B., Lanckriet, E., Ruau, C., Juber, R., Vira, J., Kulmala, L., 2025. Monitoring, reporting and verification of soil organic carbon stock changes at arable land: Cookbook for assessment in different MRV contexts and proposition of a harmonised approach - ORCASA Deliverable 4.2.</w:t>
      </w:r>
    </w:p>
    <w:p w14:paraId="3D1D11C8" w14:textId="77777777" w:rsidR="00364986" w:rsidRPr="00364986" w:rsidRDefault="00364986" w:rsidP="00364986">
      <w:pPr>
        <w:pStyle w:val="Bibliography"/>
      </w:pPr>
      <w:r w:rsidRPr="00364986">
        <w:t>Cheong, B.C., 2025. The Paradox and Fallacy of Global Carbon Credits: A Theoretical Framework for Strengthening Climate Change Mitigation Strategies. Anthr. Sci. 4, 72–83. https://doi.org/10.1007/s44177-025-00084-0</w:t>
      </w:r>
    </w:p>
    <w:p w14:paraId="1F3FF6CE" w14:textId="77777777" w:rsidR="00364986" w:rsidRPr="00364986" w:rsidRDefault="00364986" w:rsidP="00364986">
      <w:pPr>
        <w:pStyle w:val="Bibliography"/>
      </w:pPr>
      <w:r w:rsidRPr="00364986">
        <w:lastRenderedPageBreak/>
        <w:t>Chowdhury, S., Kain, J.-H., Adelfio, M., Volchko, Y., Norrman, J., 2023. Transforming brownfields into urban greenspaces: A working process for stakeholder analysis. PLoS ONE 18, e0278747. https://doi.org/10.1371/journal.pone.0278747</w:t>
      </w:r>
    </w:p>
    <w:p w14:paraId="73EC0BCF" w14:textId="77777777" w:rsidR="00364986" w:rsidRPr="00364986" w:rsidRDefault="00364986" w:rsidP="00364986">
      <w:pPr>
        <w:pStyle w:val="Bibliography"/>
      </w:pPr>
      <w:r w:rsidRPr="00364986">
        <w:t>Directorate-General for Environment, 2025. Directive (EU) 2025/2360 of the European Parliament and of the  Council of 12 November 2025 on soil monitoring and resilience (Soil Monitoring Law).</w:t>
      </w:r>
    </w:p>
    <w:p w14:paraId="418DEF46" w14:textId="77777777" w:rsidR="00364986" w:rsidRPr="00364986" w:rsidRDefault="00364986" w:rsidP="00364986">
      <w:pPr>
        <w:pStyle w:val="Bibliography"/>
      </w:pPr>
      <w:r w:rsidRPr="00364986">
        <w:t>Eggers, J., Räty, M., Öhman, K., Snäll, T., 2020. How Well Do Stakeholder-Defined Forest Management Scenarios Balance Economic and Ecological Forest Values? Forests 11, 86. https://doi.org/10.3390/f11010086</w:t>
      </w:r>
    </w:p>
    <w:p w14:paraId="7D2119A2" w14:textId="77777777" w:rsidR="00364986" w:rsidRPr="00364986" w:rsidRDefault="00364986" w:rsidP="00364986">
      <w:pPr>
        <w:pStyle w:val="Bibliography"/>
      </w:pPr>
      <w:r w:rsidRPr="00364986">
        <w:t>European parliament and the council of the European Union, 2024. Regulation (EU) 2024/3012 of the European Parliament and of the Council of 27 November 2024 establishing a Union certification framework for permanent carbon removals, carbon farming and carbon storage in products (No. PE/92/2024/REV/1  OJ L).</w:t>
      </w:r>
    </w:p>
    <w:p w14:paraId="79E14772" w14:textId="77777777" w:rsidR="00364986" w:rsidRPr="00364986" w:rsidRDefault="00364986" w:rsidP="00364986">
      <w:pPr>
        <w:pStyle w:val="Bibliography"/>
      </w:pPr>
      <w:r w:rsidRPr="00364986">
        <w:t>Husson, F., Lê, S., Pagès, J., 2017. Exploratory multivariate analysis by example using R, Second edition. ed. CRC Press, Boca Raton.</w:t>
      </w:r>
    </w:p>
    <w:p w14:paraId="527EDA52" w14:textId="77777777" w:rsidR="00364986" w:rsidRPr="00364986" w:rsidRDefault="00364986" w:rsidP="00364986">
      <w:pPr>
        <w:pStyle w:val="Bibliography"/>
      </w:pPr>
      <w:r w:rsidRPr="00364986">
        <w:t>Ihasusta, A., Al Bitar, A., Batjes, N.H., Van Egmond, F., Cardinael, R., Karunaratne, S., Barré, P., Arnaud, L., Heuvelink, G., Macdonald, B., Wijmer, T., Demenois, J., Paul-Victor, C., Reynders, S., Ceschia, E., 2026. Choosing the appropriate methodology to monitor soil organic carbon (SOC) in croplands: aligning methods with evolving monitoring reporting verification (MRV) frameworks. Carbon Management 17, 2638317. https://doi.org/10.1080/17583004.2026.2638317</w:t>
      </w:r>
    </w:p>
    <w:p w14:paraId="678A6A02" w14:textId="77777777" w:rsidR="00364986" w:rsidRPr="00364986" w:rsidRDefault="00364986" w:rsidP="00364986">
      <w:pPr>
        <w:pStyle w:val="Bibliography"/>
      </w:pPr>
      <w:r w:rsidRPr="00364986">
        <w:t>Imbert, C., Berlin, A., Brown, C., Critchley, M., Kapos, V., Pulleman, M., Rusch, G., Tokpah, K., Volkmann, F., Paul, C., 2024. Designing Monitoring Reporting Verification for promoting healthy soils.</w:t>
      </w:r>
    </w:p>
    <w:p w14:paraId="4411AFFC" w14:textId="77777777" w:rsidR="00364986" w:rsidRPr="00364986" w:rsidRDefault="00364986" w:rsidP="00364986">
      <w:pPr>
        <w:pStyle w:val="Bibliography"/>
      </w:pPr>
      <w:r w:rsidRPr="00364986">
        <w:t xml:space="preserve">Lê, S., Josse, J., Husson, F., 2008. </w:t>
      </w:r>
      <w:r w:rsidRPr="00364986">
        <w:rPr>
          <w:b/>
          <w:bCs/>
        </w:rPr>
        <w:t>FactoMineR</w:t>
      </w:r>
      <w:r w:rsidRPr="00364986">
        <w:t xml:space="preserve"> : An </w:t>
      </w:r>
      <w:r w:rsidRPr="00364986">
        <w:rPr>
          <w:i/>
          <w:iCs/>
        </w:rPr>
        <w:t>R</w:t>
      </w:r>
      <w:r w:rsidRPr="00364986">
        <w:t xml:space="preserve"> Package for Multivariate Analysis. J. Stat. Soft. 25. https://doi.org/10.18637/jss.v025.i01</w:t>
      </w:r>
    </w:p>
    <w:p w14:paraId="7599278B" w14:textId="77777777" w:rsidR="00364986" w:rsidRPr="00364986" w:rsidRDefault="00364986" w:rsidP="00364986">
      <w:pPr>
        <w:pStyle w:val="Bibliography"/>
      </w:pPr>
      <w:r w:rsidRPr="00364986">
        <w:t>Matson, A., Fantappiè, M., Campbell, G.A., Miranda-Vélez, J.F., Faber, J.H., Gomes, L.C., Hessel, R., Lana, M., Mocali, S., Smith, P., Robinson, D.A., Bispo, A., Van Egmond, F., Keesstra, S., Saby, N.P.A., Smreczak, B., Froger, C., Suleymanov, A., Chenu, C., 2024. Four approaches to setting soil health targets and thresholds in agricultural soils. Journal of Environmental Management 371, 123141. https://doi.org/10.1016/j.jenvman.2024.123141</w:t>
      </w:r>
    </w:p>
    <w:p w14:paraId="0F8EE6E7" w14:textId="77777777" w:rsidR="00364986" w:rsidRPr="00364986" w:rsidRDefault="00364986" w:rsidP="00364986">
      <w:pPr>
        <w:pStyle w:val="Bibliography"/>
      </w:pPr>
      <w:r w:rsidRPr="00364986">
        <w:t>Pachón Maldonado, J.C., Leonard, E.C., Field, D.J., McRobert, K., Heath, R., McBratney, A.B., 2024. Quantifying the connectivity dimension of the soil security assessment framework. Soil Security 17, 100175. https://doi.org/10.1016/j.soisec.2024.100175</w:t>
      </w:r>
    </w:p>
    <w:p w14:paraId="783CD281" w14:textId="77777777" w:rsidR="00364986" w:rsidRPr="00364986" w:rsidRDefault="00364986" w:rsidP="00364986">
      <w:pPr>
        <w:pStyle w:val="Bibliography"/>
      </w:pPr>
      <w:r w:rsidRPr="00364986">
        <w:t>Probst, B.S., Toetzke, M., Kontoleon, A., Díaz Anadón, L., Minx, J.C., Haya, B.K., Schneider, L., Trotter, P.A., West, T.A.P., Gill-Wiehl, A., Hoffmann, V.H., 2024. Systematic assessment of the achieved emission reductions of carbon crediting projects. Nat Commun 15, 9562. https://doi.org/10.1038/s41467-024-53645-z</w:t>
      </w:r>
    </w:p>
    <w:p w14:paraId="50648D9B" w14:textId="77777777" w:rsidR="00364986" w:rsidRPr="00364986" w:rsidRDefault="00364986" w:rsidP="00364986">
      <w:pPr>
        <w:pStyle w:val="Bibliography"/>
      </w:pPr>
      <w:r w:rsidRPr="00364986">
        <w:t>Sayles, J.S., Furey, R.P., Ten Brink, M.R., 2022. How deep to dig: effects of web-scraping search depth on hyperlink network analysis of environmental stewardship organizations. Appl Netw Sci 7, 36. https://doi.org/10.1007/s41109-022-00472-0</w:t>
      </w:r>
    </w:p>
    <w:p w14:paraId="3C995F22" w14:textId="77777777" w:rsidR="00364986" w:rsidRPr="00364986" w:rsidRDefault="00364986" w:rsidP="00364986">
      <w:pPr>
        <w:pStyle w:val="Bibliography"/>
      </w:pPr>
      <w:r w:rsidRPr="00364986">
        <w:t>Schreefel, L., Creamer, R.E., Van Zanten, H.H.E., De Olde, E.M., Pas Schrijver, A., De Boer, I., Schulte, R.P.O., 2023. How to Monitor the ‘Success’ of (Regenerative) Agriculture: A Perspective (preprint). SSRN. https://doi.org/10.2139/ssrn.4525658</w:t>
      </w:r>
    </w:p>
    <w:p w14:paraId="62E35D70" w14:textId="77777777" w:rsidR="00364986" w:rsidRPr="00364986" w:rsidRDefault="00364986" w:rsidP="00364986">
      <w:pPr>
        <w:pStyle w:val="Bibliography"/>
      </w:pPr>
      <w:r w:rsidRPr="00364986">
        <w:t>Smith, P., Soussana, J., Angers, D., Schipper, L., Chenu, C., Rasse, D.P., Batjes, N.H., Egmond, F., McNeill, S., Kuhnert, M., Arias‐Navarro, C., Olesen, J.E., Chirinda, N., Fornara, D., Wollenberg, E., Álvaro‐Fuentes, J., Sanz‐Cobena, A., Klumpp, K., 2020. How to measure, report and verify soil carbon change to realize the potential of soil carbon sequestration for atmospheric greenhouse gas removal. Global Change Biology 26, 219–241. https://doi.org/10.1111/gcb.14815</w:t>
      </w:r>
    </w:p>
    <w:p w14:paraId="47847378" w14:textId="77777777" w:rsidR="00364986" w:rsidRPr="00364986" w:rsidRDefault="00364986" w:rsidP="00364986">
      <w:pPr>
        <w:pStyle w:val="Bibliography"/>
      </w:pPr>
      <w:r w:rsidRPr="00364986">
        <w:t>Strauss, V., Paul, C., Dönmez, C., Löbmann, M., Helming, K., 2023. Sustainable soil management measures: a synthesis of stakeholder recommendations. Agronomy for Sustainable Development 43. https://doi.org/10.1007/s13593-022-00864-7</w:t>
      </w:r>
    </w:p>
    <w:p w14:paraId="3F4E9E02" w14:textId="77777777" w:rsidR="00364986" w:rsidRPr="00364986" w:rsidRDefault="00364986" w:rsidP="00364986">
      <w:pPr>
        <w:pStyle w:val="Bibliography"/>
      </w:pPr>
      <w:r w:rsidRPr="00364986">
        <w:t>Trencher, G., Nick, S., Carlson, J., Johnson, M., 2024. Demand for low-quality offsets by major companies undermines climate integrity of the voluntary carbon market. Nat Commun 15, 6863. https://doi.org/10.1038/s41467-024-51151-w</w:t>
      </w:r>
    </w:p>
    <w:p w14:paraId="46107D48" w14:textId="77777777" w:rsidR="00364986" w:rsidRPr="00364986" w:rsidRDefault="00364986" w:rsidP="00364986">
      <w:pPr>
        <w:pStyle w:val="Bibliography"/>
      </w:pPr>
      <w:r w:rsidRPr="00364986">
        <w:t>Trouwloon, D., Streck, C., Chagas, T., Martinus, G., 2023. Understanding the Use of Carbon Credits by Companies: A Review of the Defining Elements of Corporate Climate Claims. Global Challenges 7, 2200158. https://doi.org/10.1002/gch2.202200158</w:t>
      </w:r>
    </w:p>
    <w:p w14:paraId="01A302BC" w14:textId="77777777" w:rsidR="00364986" w:rsidRPr="00364986" w:rsidRDefault="00364986" w:rsidP="00364986">
      <w:pPr>
        <w:pStyle w:val="Bibliography"/>
      </w:pPr>
      <w:r w:rsidRPr="00364986">
        <w:lastRenderedPageBreak/>
        <w:t>Vanderheyden, L., Gayot, N., Van Den Broeck, G., 2026. What monitoring, reporting &amp; verification (MRV) systems can reduce costs and enhance scalability of carbon farming? Journal of Environmental Management 401, 128885. https://doi.org/10.1016/j.jenvman.2026.128885</w:t>
      </w:r>
    </w:p>
    <w:p w14:paraId="65AC9606" w14:textId="77777777" w:rsidR="00364986" w:rsidRPr="00364986" w:rsidRDefault="00364986" w:rsidP="00364986">
      <w:pPr>
        <w:pStyle w:val="Bibliography"/>
      </w:pPr>
      <w:r w:rsidRPr="00364986">
        <w:t>Vanino, S., Pirelli, T., Di Bene, C., Bøe, F., Castanheira, N., Chenu, C., Cornu, S., Feiza, V., Fornara, D., Heller, O., Kasparinskis, R., Keesstra, S., Lasorella, M.V., Madenoğlu, S., Meurer, K.H.E., O’Sullivan, L., Peter, N., Piccini, C., Siebielec, G., Smreczak, B., Thorsøe, M.H., Farina, R., 2023. Barriers and opportunities of soil knowledge to address soil challenges: Stakeholders’ perspectives across Europe. Journal of Environmental Management 325. https://doi.org/10.1016/j.jenvman.2022.116581</w:t>
      </w:r>
    </w:p>
    <w:p w14:paraId="29045912" w14:textId="77777777" w:rsidR="00364986" w:rsidRPr="00364986" w:rsidRDefault="00364986" w:rsidP="00364986">
      <w:pPr>
        <w:pStyle w:val="Bibliography"/>
      </w:pPr>
      <w:r w:rsidRPr="00364986">
        <w:t>Vazquez, C., Mulder, T., Chavez Rodriguez, L., Lonardo, F.D.D.P., Garsia, A., Creamer, R.E., Bünemann, E.K., Soinne, H., Cheval, P., Basile, A., Bacq-labreuil, A., Nordén, J., Cunha, L., Imbert, C., Boix-Fayos, C., 2025. Soil biology, soil health and ecosystem services: an overview, in: Burleigh Dodds Series in Agricultural Science. Burleigh Dodds Science Publishing Limited. https://doi.org/10.19103/AS.2025.0159.01</w:t>
      </w:r>
    </w:p>
    <w:p w14:paraId="26D9D444" w14:textId="77777777" w:rsidR="00364986" w:rsidRPr="00364986" w:rsidRDefault="00364986" w:rsidP="00364986">
      <w:pPr>
        <w:pStyle w:val="Bibliography"/>
      </w:pPr>
      <w:r w:rsidRPr="00364986">
        <w:t>Vieillard, C., Vidal-Beaudet, L., Dagois, R., Lothode, M., Vadepied, F., Gontier, M., Schwartz, C., Ouvrard, S., 2024. Impacts of soil de-sealing practices on urban land-uses, soil functions and ecosystem services in French cities. Geoderma Regional 38, e00854. https://doi.org/10.1016/j.geodrs.2024.e00854</w:t>
      </w:r>
    </w:p>
    <w:p w14:paraId="0DB10E8C" w14:textId="77777777" w:rsidR="00364986" w:rsidRPr="00364986" w:rsidRDefault="00364986" w:rsidP="00364986">
      <w:pPr>
        <w:pStyle w:val="Bibliography"/>
      </w:pPr>
      <w:r w:rsidRPr="00364986">
        <w:t xml:space="preserve">Weninger, T., Ramler, D., Bondi, G., Asins, S., O’Sullivan, L., Assennato, F., Astover, A., Bispo, A., Borůvka, L., Buttafuoco, G., Calzolari, C., Castanheira, N., Cousin, I., Van Den Elsen, E., Foldal, C., Hessel, R., Kadžiulienė, Ž., Kukk, L., Molina, M.J., Montagne, D., Oorts, K., Pindral, S., Ungaro, F., Klimkowicz‐Pawlas, A., 2024. Do we speak one language on the way to sustainable soil management in Europe? A terminology check via an </w:t>
      </w:r>
      <w:r w:rsidRPr="00364986">
        <w:rPr>
          <w:smallCaps/>
        </w:rPr>
        <w:t>EU</w:t>
      </w:r>
      <w:r w:rsidRPr="00364986">
        <w:t xml:space="preserve"> ‐wide survey. European J Soil Science 75, e13476. https://doi.org/10.1111/ejss.13476</w:t>
      </w:r>
    </w:p>
    <w:p w14:paraId="2E5B786F" w14:textId="6E901C50" w:rsidR="00364986" w:rsidRDefault="00364986" w:rsidP="00364986">
      <w:r>
        <w:fldChar w:fldCharType="end"/>
      </w:r>
    </w:p>
    <w:p w14:paraId="4C8704E9" w14:textId="77777777" w:rsidR="00364986" w:rsidRPr="00AE1E7D" w:rsidRDefault="00364986" w:rsidP="00364986">
      <w:hyperlink r:id="rId23">
        <w:r w:rsidRPr="00AE1E7D">
          <w:rPr>
            <w:rStyle w:val="Hyperlink"/>
          </w:rPr>
          <w:t>https://elicit.com/</w:t>
        </w:r>
      </w:hyperlink>
    </w:p>
    <w:p w14:paraId="72D43DF4" w14:textId="77777777" w:rsidR="00364986" w:rsidRDefault="00364986" w:rsidP="00364986">
      <w:hyperlink r:id="rId24">
        <w:r w:rsidRPr="00AE1E7D">
          <w:rPr>
            <w:rStyle w:val="Hyperlink"/>
          </w:rPr>
          <w:t>https://www.offsetguide.org/understanding-carbon-offsets/what-is-a-carbon-offset/</w:t>
        </w:r>
      </w:hyperlink>
    </w:p>
    <w:p w14:paraId="5359AC48" w14:textId="77777777" w:rsidR="00364986" w:rsidRPr="00AE1E7D" w:rsidRDefault="00364986" w:rsidP="00364986">
      <w:hyperlink r:id="rId25">
        <w:r w:rsidRPr="00AE1E7D">
          <w:rPr>
            <w:rStyle w:val="Hyperlink"/>
          </w:rPr>
          <w:t>https://www.perplexity.ai/</w:t>
        </w:r>
      </w:hyperlink>
    </w:p>
    <w:p w14:paraId="32331CB3" w14:textId="77777777" w:rsidR="00364986" w:rsidRPr="00AE1E7D" w:rsidRDefault="00364986" w:rsidP="00364986">
      <w:hyperlink r:id="rId26">
        <w:r w:rsidRPr="00AE1E7D">
          <w:rPr>
            <w:rStyle w:val="Hyperlink"/>
          </w:rPr>
          <w:t>https://www.project-marvic.eu/</w:t>
        </w:r>
      </w:hyperlink>
    </w:p>
    <w:p w14:paraId="6DE0D0FF" w14:textId="77777777" w:rsidR="00364986" w:rsidRPr="00AE1E7D" w:rsidRDefault="00364986" w:rsidP="00364986">
      <w:hyperlink r:id="rId27">
        <w:r w:rsidRPr="00AE1E7D">
          <w:rPr>
            <w:rStyle w:val="Hyperlink"/>
          </w:rPr>
          <w:t>https://www.selenium.dev/documentation/webdriver/</w:t>
        </w:r>
      </w:hyperlink>
    </w:p>
    <w:p w14:paraId="64BEBBE6" w14:textId="77777777" w:rsidR="00364986" w:rsidRPr="00AE1E7D" w:rsidRDefault="00364986" w:rsidP="00364986">
      <w:hyperlink r:id="rId28">
        <w:r w:rsidRPr="00AE1E7D">
          <w:rPr>
            <w:rStyle w:val="Hyperlink"/>
          </w:rPr>
          <w:t>https://soilhealthbenchmarks.eu/</w:t>
        </w:r>
      </w:hyperlink>
    </w:p>
    <w:p w14:paraId="1BC9687F" w14:textId="77777777" w:rsidR="00364986" w:rsidRPr="00364986" w:rsidRDefault="00364986" w:rsidP="00364986"/>
    <w:p w14:paraId="5FECDBE3" w14:textId="77777777" w:rsidR="001223AC" w:rsidRDefault="00000000">
      <w:pPr>
        <w:pStyle w:val="Heading1"/>
      </w:pPr>
      <w:bookmarkStart w:id="21" w:name="acknowledgments"/>
      <w:bookmarkEnd w:id="20"/>
      <w:r>
        <w:t>7. Acknowledgments</w:t>
      </w:r>
    </w:p>
    <w:p w14:paraId="1CBC6E48" w14:textId="77777777" w:rsidR="001223AC" w:rsidRDefault="00000000">
      <w:r>
        <w:t>This research was funded by the European Union’s Horizon Europe research and innovation program, under Grant Agreement: 101091010, Project BENCHMARKS. We thank Laura Zara for helping in developing the web scraping script and improving the figures. We thank Emily Auraujo, Martina Lori and Johanne Vad for running the web scraping script.</w:t>
      </w:r>
    </w:p>
    <w:p w14:paraId="03DF7955" w14:textId="77777777" w:rsidR="001223AC" w:rsidRDefault="00000000">
      <w:pPr>
        <w:pStyle w:val="Heading1"/>
      </w:pPr>
      <w:bookmarkStart w:id="22" w:name="author-contribution"/>
      <w:bookmarkEnd w:id="21"/>
      <w:r>
        <w:t>8. Author contribution</w:t>
      </w:r>
    </w:p>
    <w:p w14:paraId="2F3E55B2" w14:textId="77777777" w:rsidR="001223AC" w:rsidRDefault="00000000" w:rsidP="00A33967">
      <w:pPr>
        <w:jc w:val="left"/>
      </w:pPr>
      <w:r>
        <w:t>CI : Conception, Data collection, Data analysis, Tool conception, Paper writing, Paper revision</w:t>
      </w:r>
      <w:r>
        <w:br/>
        <w:t>AB : Paper revision</w:t>
      </w:r>
      <w:r>
        <w:br/>
        <w:t>SG :Data collection, Paper revision</w:t>
      </w:r>
      <w:r>
        <w:br/>
        <w:t>PH :Data collection, Paper revision</w:t>
      </w:r>
      <w:r>
        <w:br/>
      </w:r>
      <w:r>
        <w:lastRenderedPageBreak/>
        <w:t>TS :Data collection, Paper revision</w:t>
      </w:r>
      <w:r>
        <w:br/>
        <w:t>SS :Data collection, Paper revision</w:t>
      </w:r>
      <w:r>
        <w:br/>
        <w:t>LR :Tool conception, Paper revision</w:t>
      </w:r>
      <w:r>
        <w:br/>
        <w:t>KW :Data collection, Paper revision</w:t>
      </w:r>
    </w:p>
    <w:p w14:paraId="056A60C3" w14:textId="77777777" w:rsidR="001223AC" w:rsidRDefault="00000000">
      <w:pPr>
        <w:pStyle w:val="Heading1"/>
      </w:pPr>
      <w:bookmarkStart w:id="23" w:name="appendices"/>
      <w:bookmarkEnd w:id="22"/>
      <w:r>
        <w:t>9. Appendices</w:t>
      </w:r>
    </w:p>
    <w:p w14:paraId="5D0EDD2C" w14:textId="77777777" w:rsidR="001223AC" w:rsidRDefault="00000000">
      <w:pPr>
        <w:pStyle w:val="Heading2"/>
      </w:pPr>
      <w:bookmarkStart w:id="24" w:name="X618cfe45ddc02944cb46ec0a3e63affb724e2ba"/>
      <w:r>
        <w:t xml:space="preserve">Appendix 1. PRISMA diagrams according the data source: article database (a.), </w:t>
      </w:r>
      <w:proofErr w:type="spellStart"/>
      <w:r>
        <w:t>webscraping</w:t>
      </w:r>
      <w:proofErr w:type="spellEnd"/>
      <w:r>
        <w:t xml:space="preserve"> (b.) and AI browser (c.)</w:t>
      </w:r>
    </w:p>
    <w:p w14:paraId="1E47D400" w14:textId="77777777" w:rsidR="001223AC" w:rsidRDefault="00000000">
      <w:r>
        <w:rPr>
          <w:noProof/>
        </w:rPr>
        <w:drawing>
          <wp:inline distT="0" distB="0" distL="0" distR="0" wp14:anchorId="7D6511A1" wp14:editId="29624407">
            <wp:extent cx="6362700" cy="3954106"/>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prisma_combined.png"/>
                    <pic:cNvPicPr>
                      <a:picLocks noChangeAspect="1" noChangeArrowheads="1"/>
                    </pic:cNvPicPr>
                  </pic:nvPicPr>
                  <pic:blipFill>
                    <a:blip r:embed="rId29"/>
                    <a:stretch>
                      <a:fillRect/>
                    </a:stretch>
                  </pic:blipFill>
                  <pic:spPr bwMode="auto">
                    <a:xfrm>
                      <a:off x="0" y="0"/>
                      <a:ext cx="6362700" cy="3954106"/>
                    </a:xfrm>
                    <a:prstGeom prst="rect">
                      <a:avLst/>
                    </a:prstGeom>
                    <a:noFill/>
                    <a:ln w="9525">
                      <a:noFill/>
                      <a:headEnd/>
                      <a:tailEnd/>
                    </a:ln>
                  </pic:spPr>
                </pic:pic>
              </a:graphicData>
            </a:graphic>
          </wp:inline>
        </w:drawing>
      </w:r>
    </w:p>
    <w:p w14:paraId="449CD6DF" w14:textId="77777777" w:rsidR="001223AC" w:rsidRDefault="00000000">
      <w:pPr>
        <w:pStyle w:val="Heading2"/>
      </w:pPr>
      <w:bookmarkStart w:id="25" w:name="appendix-2.-web-scraping-script"/>
      <w:bookmarkEnd w:id="24"/>
      <w:r>
        <w:t>Appendix 2. Web scraping script</w:t>
      </w:r>
    </w:p>
    <w:p w14:paraId="4FEBFECE" w14:textId="77777777" w:rsidR="001223AC" w:rsidRDefault="00000000">
      <w:r>
        <w:t>GIT URL</w:t>
      </w:r>
    </w:p>
    <w:p w14:paraId="2B9AFDDA" w14:textId="77777777" w:rsidR="001223AC" w:rsidRDefault="00000000">
      <w:pPr>
        <w:pStyle w:val="Heading2"/>
      </w:pPr>
      <w:bookmarkStart w:id="26" w:name="appendix-3.dataset"/>
      <w:bookmarkEnd w:id="25"/>
      <w:r>
        <w:t>Appendix 3.Dataset</w:t>
      </w:r>
    </w:p>
    <w:p w14:paraId="740965F0" w14:textId="77777777" w:rsidR="001223AC" w:rsidRDefault="00000000">
      <w:r>
        <w:t>DOI to add</w:t>
      </w:r>
    </w:p>
    <w:p w14:paraId="2798AEE9" w14:textId="77777777" w:rsidR="001223AC" w:rsidRDefault="00000000">
      <w:pPr>
        <w:pStyle w:val="Heading2"/>
      </w:pPr>
      <w:bookmarkStart w:id="27" w:name="X42f0c1ffdb5ad1de6a5787eaf2629555e377d47"/>
      <w:bookmarkEnd w:id="26"/>
      <w:r>
        <w:lastRenderedPageBreak/>
        <w:t>Appendix 4. Missing information for each MRV procedure</w:t>
      </w:r>
    </w:p>
    <w:p w14:paraId="277AEAE6" w14:textId="77777777" w:rsidR="001223AC" w:rsidRDefault="00000000">
      <w:r>
        <w:rPr>
          <w:noProof/>
        </w:rPr>
        <w:drawing>
          <wp:inline distT="0" distB="0" distL="0" distR="0" wp14:anchorId="39D881CE" wp14:editId="55078D14">
            <wp:extent cx="6014931" cy="7066344"/>
            <wp:effectExtent l="0" t="0" r="5080" b="127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Analysis_Task511_21-08-26_files/figure-docx/Missing%20information-1.png"/>
                    <pic:cNvPicPr>
                      <a:picLocks noChangeAspect="1" noChangeArrowheads="1"/>
                    </pic:cNvPicPr>
                  </pic:nvPicPr>
                  <pic:blipFill>
                    <a:blip r:embed="rId30"/>
                    <a:stretch>
                      <a:fillRect/>
                    </a:stretch>
                  </pic:blipFill>
                  <pic:spPr bwMode="auto">
                    <a:xfrm>
                      <a:off x="0" y="0"/>
                      <a:ext cx="6017957" cy="7069899"/>
                    </a:xfrm>
                    <a:prstGeom prst="rect">
                      <a:avLst/>
                    </a:prstGeom>
                    <a:noFill/>
                    <a:ln w="9525">
                      <a:noFill/>
                      <a:headEnd/>
                      <a:tailEnd/>
                    </a:ln>
                  </pic:spPr>
                </pic:pic>
              </a:graphicData>
            </a:graphic>
          </wp:inline>
        </w:drawing>
      </w:r>
    </w:p>
    <w:p w14:paraId="3192539F" w14:textId="77777777" w:rsidR="001223AC" w:rsidRDefault="00000000">
      <w:pPr>
        <w:pStyle w:val="Heading2"/>
      </w:pPr>
      <w:bookmarkStart w:id="28" w:name="Xa7c0b8a7eacd5e3b412981f02362b4c586e4918"/>
      <w:bookmarkEnd w:id="27"/>
      <w:r>
        <w:lastRenderedPageBreak/>
        <w:t>Appendix 5. Percentage of MRV procedures already implemented or under development</w:t>
      </w:r>
    </w:p>
    <w:p w14:paraId="559EBAF9" w14:textId="77777777" w:rsidR="001223AC" w:rsidRDefault="00000000">
      <w:r>
        <w:rPr>
          <w:noProof/>
        </w:rPr>
        <w:drawing>
          <wp:inline distT="0" distB="0" distL="0" distR="0" wp14:anchorId="79C671AE" wp14:editId="4D040D02">
            <wp:extent cx="5504749" cy="3669832"/>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Analysis_Task511_21-08-26_files/figure-docx/Implementation%20All-1.png"/>
                    <pic:cNvPicPr>
                      <a:picLocks noChangeAspect="1" noChangeArrowheads="1"/>
                    </pic:cNvPicPr>
                  </pic:nvPicPr>
                  <pic:blipFill>
                    <a:blip r:embed="rId31"/>
                    <a:stretch>
                      <a:fillRect/>
                    </a:stretch>
                  </pic:blipFill>
                  <pic:spPr bwMode="auto">
                    <a:xfrm>
                      <a:off x="0" y="0"/>
                      <a:ext cx="5504749" cy="3669832"/>
                    </a:xfrm>
                    <a:prstGeom prst="rect">
                      <a:avLst/>
                    </a:prstGeom>
                    <a:noFill/>
                    <a:ln w="9525">
                      <a:noFill/>
                      <a:headEnd/>
                      <a:tailEnd/>
                    </a:ln>
                  </pic:spPr>
                </pic:pic>
              </a:graphicData>
            </a:graphic>
          </wp:inline>
        </w:drawing>
      </w:r>
    </w:p>
    <w:p w14:paraId="4577D5D9" w14:textId="77777777" w:rsidR="001223AC" w:rsidRDefault="00000000">
      <w:pPr>
        <w:pStyle w:val="Heading2"/>
      </w:pPr>
      <w:bookmarkStart w:id="29" w:name="X2745a6b51b16624f3fecabb818de571e541d446"/>
      <w:bookmarkEnd w:id="28"/>
      <w:r>
        <w:t>Appendix 6. Contribution of variable modalities computed with MCA, HCPC, v-test and significance test</w:t>
      </w:r>
    </w:p>
    <w:tbl>
      <w:tblPr>
        <w:tblW w:w="0" w:type="auto"/>
        <w:jc w:val="center"/>
        <w:tblLayout w:type="fixed"/>
        <w:tblLook w:val="0420" w:firstRow="1" w:lastRow="0" w:firstColumn="0" w:lastColumn="0" w:noHBand="0" w:noVBand="1"/>
      </w:tblPr>
      <w:tblGrid>
        <w:gridCol w:w="529"/>
        <w:gridCol w:w="4271"/>
        <w:gridCol w:w="578"/>
        <w:gridCol w:w="578"/>
        <w:gridCol w:w="516"/>
        <w:gridCol w:w="1286"/>
        <w:gridCol w:w="476"/>
      </w:tblGrid>
      <w:tr w:rsidR="001223AC" w14:paraId="316DC3E7" w14:textId="77777777">
        <w:trPr>
          <w:tblHeader/>
          <w:jc w:val="center"/>
        </w:trPr>
        <w:tc>
          <w:tcPr>
            <w:tcW w:w="52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5A8D44" w14:textId="77777777" w:rsidR="001223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8"/>
                <w:szCs w:val="8"/>
              </w:rPr>
            </w:pPr>
            <w:r>
              <w:rPr>
                <w:rFonts w:ascii="Arial" w:eastAsia="Arial" w:hAnsi="Arial" w:cs="Arial"/>
                <w:b/>
                <w:color w:val="000000"/>
                <w:sz w:val="8"/>
                <w:szCs w:val="8"/>
              </w:rPr>
              <w:t>cluster</w:t>
            </w:r>
          </w:p>
        </w:tc>
        <w:tc>
          <w:tcPr>
            <w:tcW w:w="42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EA1E3A" w14:textId="77777777" w:rsidR="001223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b/>
                <w:color w:val="000000"/>
                <w:sz w:val="8"/>
                <w:szCs w:val="8"/>
              </w:rPr>
            </w:pPr>
            <w:r>
              <w:rPr>
                <w:rFonts w:ascii="Arial" w:eastAsia="Arial" w:hAnsi="Arial" w:cs="Arial"/>
                <w:b/>
                <w:color w:val="000000"/>
                <w:sz w:val="8"/>
                <w:szCs w:val="8"/>
              </w:rPr>
              <w:t>category</w:t>
            </w:r>
          </w:p>
        </w:tc>
        <w:tc>
          <w:tcPr>
            <w:tcW w:w="5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967D93" w14:textId="77777777" w:rsidR="001223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8"/>
                <w:szCs w:val="8"/>
              </w:rPr>
            </w:pPr>
            <w:proofErr w:type="spellStart"/>
            <w:r>
              <w:rPr>
                <w:rFonts w:ascii="Arial" w:eastAsia="Arial" w:hAnsi="Arial" w:cs="Arial"/>
                <w:b/>
                <w:color w:val="000000"/>
                <w:sz w:val="8"/>
                <w:szCs w:val="8"/>
              </w:rPr>
              <w:t>Cla.Mod</w:t>
            </w:r>
            <w:proofErr w:type="spellEnd"/>
          </w:p>
        </w:tc>
        <w:tc>
          <w:tcPr>
            <w:tcW w:w="5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5C3676" w14:textId="77777777" w:rsidR="001223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8"/>
                <w:szCs w:val="8"/>
              </w:rPr>
            </w:pPr>
            <w:proofErr w:type="spellStart"/>
            <w:r>
              <w:rPr>
                <w:rFonts w:ascii="Arial" w:eastAsia="Arial" w:hAnsi="Arial" w:cs="Arial"/>
                <w:b/>
                <w:color w:val="000000"/>
                <w:sz w:val="8"/>
                <w:szCs w:val="8"/>
              </w:rPr>
              <w:t>Mod.Cla</w:t>
            </w:r>
            <w:proofErr w:type="spellEnd"/>
          </w:p>
        </w:tc>
        <w:tc>
          <w:tcPr>
            <w:tcW w:w="5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A22057" w14:textId="77777777" w:rsidR="001223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8"/>
                <w:szCs w:val="8"/>
              </w:rPr>
            </w:pPr>
            <w:r>
              <w:rPr>
                <w:rFonts w:ascii="Arial" w:eastAsia="Arial" w:hAnsi="Arial" w:cs="Arial"/>
                <w:b/>
                <w:color w:val="000000"/>
                <w:sz w:val="8"/>
                <w:szCs w:val="8"/>
              </w:rPr>
              <w:t>Global</w:t>
            </w:r>
          </w:p>
        </w:tc>
        <w:tc>
          <w:tcPr>
            <w:tcW w:w="128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BF6A6B" w14:textId="77777777" w:rsidR="001223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8"/>
                <w:szCs w:val="8"/>
              </w:rPr>
            </w:pPr>
            <w:proofErr w:type="spellStart"/>
            <w:r>
              <w:rPr>
                <w:rFonts w:ascii="Arial" w:eastAsia="Arial" w:hAnsi="Arial" w:cs="Arial"/>
                <w:b/>
                <w:color w:val="000000"/>
                <w:sz w:val="8"/>
                <w:szCs w:val="8"/>
              </w:rPr>
              <w:t>p.value</w:t>
            </w:r>
            <w:proofErr w:type="spellEnd"/>
          </w:p>
        </w:tc>
        <w:tc>
          <w:tcPr>
            <w:tcW w:w="47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626948" w14:textId="77777777" w:rsidR="001223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8"/>
                <w:szCs w:val="8"/>
              </w:rPr>
            </w:pPr>
            <w:proofErr w:type="spellStart"/>
            <w:r>
              <w:rPr>
                <w:rFonts w:ascii="Arial" w:eastAsia="Arial" w:hAnsi="Arial" w:cs="Arial"/>
                <w:b/>
                <w:color w:val="000000"/>
                <w:sz w:val="8"/>
                <w:szCs w:val="8"/>
              </w:rPr>
              <w:t>v.test</w:t>
            </w:r>
            <w:proofErr w:type="spellEnd"/>
          </w:p>
        </w:tc>
      </w:tr>
      <w:tr w:rsidR="001223AC" w14:paraId="4B341E53" w14:textId="77777777">
        <w:trPr>
          <w:jc w:val="center"/>
        </w:trPr>
        <w:tc>
          <w:tcPr>
            <w:tcW w:w="529"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01391A"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w:t>
            </w:r>
          </w:p>
        </w:tc>
        <w:tc>
          <w:tcPr>
            <w:tcW w:w="4271"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F87F8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r>
              <w:rPr>
                <w:rFonts w:ascii="Arial" w:eastAsia="Arial" w:hAnsi="Arial" w:cs="Arial"/>
                <w:color w:val="000000"/>
                <w:sz w:val="8"/>
                <w:szCs w:val="8"/>
              </w:rPr>
              <w:t>Occupation_Software_developers=Occupation_Software_developers_Missing_information</w:t>
            </w:r>
          </w:p>
        </w:tc>
        <w:tc>
          <w:tcPr>
            <w:tcW w:w="57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4112CB"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7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7ACACA"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1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C2877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2.083333</w:t>
            </w:r>
          </w:p>
        </w:tc>
        <w:tc>
          <w:tcPr>
            <w:tcW w:w="128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D2CEC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0.0002192982456140349291785</w:t>
            </w:r>
          </w:p>
        </w:tc>
        <w:tc>
          <w:tcPr>
            <w:tcW w:w="47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542C4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3.695681</w:t>
            </w:r>
          </w:p>
        </w:tc>
      </w:tr>
      <w:tr w:rsidR="001223AC" w14:paraId="3CF9FAEF"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7C314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7AD2C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r>
              <w:rPr>
                <w:rFonts w:ascii="Arial" w:eastAsia="Arial" w:hAnsi="Arial" w:cs="Arial"/>
                <w:color w:val="000000"/>
                <w:sz w:val="8"/>
                <w:szCs w:val="8"/>
              </w:rPr>
              <w:t>Occupation_Other_companies=Occupation_Other_companies_Missing_information</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F3C97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83EF0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74FC5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2.083333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015C9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0.0002192982456140349291785</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48DAA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3.695681</w:t>
            </w:r>
          </w:p>
        </w:tc>
      </w:tr>
      <w:tr w:rsidR="001223AC" w14:paraId="5473E940"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1C85BA"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4327C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r>
              <w:rPr>
                <w:rFonts w:ascii="Arial" w:eastAsia="Arial" w:hAnsi="Arial" w:cs="Arial"/>
                <w:color w:val="000000"/>
                <w:sz w:val="8"/>
                <w:szCs w:val="8"/>
              </w:rPr>
              <w:t>Occupation_Project_developer=Occupation_Project_developer_Missing_information</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59FD1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506375"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04473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2.083333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2CB5F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0.0002192982456140349291785</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4C916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3.695681</w:t>
            </w:r>
          </w:p>
        </w:tc>
      </w:tr>
      <w:tr w:rsidR="001223AC" w14:paraId="4C853DA9"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C8103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240C1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r>
              <w:rPr>
                <w:rFonts w:ascii="Arial" w:eastAsia="Arial" w:hAnsi="Arial" w:cs="Arial"/>
                <w:color w:val="000000"/>
                <w:sz w:val="8"/>
                <w:szCs w:val="8"/>
              </w:rPr>
              <w:t>Occupation_Consultancy=Occupation_Consultancy_Missing_information</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F19C7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0C324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F2D99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2.083333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91537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0.0002192982456140349291785</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3CA4A5"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3.695681</w:t>
            </w:r>
          </w:p>
        </w:tc>
      </w:tr>
      <w:tr w:rsidR="001223AC" w14:paraId="3DD7A62C"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9B4F9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4838FB"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Occupation_NGOs</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Occupation_NGOs_Missing_information</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BEBDB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80E8BA"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6CF9D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2.083333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B997E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0.0002192982456140349291785</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04665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3.695681</w:t>
            </w:r>
          </w:p>
        </w:tc>
      </w:tr>
      <w:tr w:rsidR="001223AC" w14:paraId="77D7ED7B"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0EBC2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54F9A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r>
              <w:rPr>
                <w:rFonts w:ascii="Arial" w:eastAsia="Arial" w:hAnsi="Arial" w:cs="Arial"/>
                <w:color w:val="000000"/>
                <w:sz w:val="8"/>
                <w:szCs w:val="8"/>
              </w:rPr>
              <w:t>Occupation_Educational_Institutions_Research=Occupation_Educational_Institutions_Research_Missing_information</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FAABE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A178CA"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A395E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2.083333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B9B0E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0.0002192982456140349291785</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C56C4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3.695681</w:t>
            </w:r>
          </w:p>
        </w:tc>
      </w:tr>
      <w:tr w:rsidR="001223AC" w14:paraId="272C7B39"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BE741B"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79035A"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r>
              <w:rPr>
                <w:rFonts w:ascii="Arial" w:eastAsia="Arial" w:hAnsi="Arial" w:cs="Arial"/>
                <w:color w:val="000000"/>
                <w:sz w:val="8"/>
                <w:szCs w:val="8"/>
              </w:rPr>
              <w:t>Occupation_Public_Administrators=Occupation_Public_Administrators_Missing_information</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8281D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BBEF8B"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E18A8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2.083333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8D220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0.0002192982456140349291785</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5E77F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3.695681</w:t>
            </w:r>
          </w:p>
        </w:tc>
      </w:tr>
      <w:tr w:rsidR="001223AC" w14:paraId="4BDE7314"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FFA4B"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B1FF1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r>
              <w:rPr>
                <w:rFonts w:ascii="Arial" w:eastAsia="Arial" w:hAnsi="Arial" w:cs="Arial"/>
                <w:color w:val="000000"/>
                <w:sz w:val="8"/>
                <w:szCs w:val="8"/>
              </w:rPr>
              <w:t>Occupation_Agroindustry=Occupation_Agroindustry_Missing_information</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94DCB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66.66667</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E448F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CF5E6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3.125000</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65843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0.0006578947368421052483214</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8EE46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3.406550</w:t>
            </w:r>
          </w:p>
        </w:tc>
      </w:tr>
      <w:tr w:rsidR="001223AC" w14:paraId="57DB39F4"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F1B0B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1620C5"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Occupation_Farmers</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Occupation_Farmers_Missing_information</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F404C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66.66667</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690125"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5DA5C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3.125000</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AEC6F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0.0006578947368421052483214</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1410F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3.406550</w:t>
            </w:r>
          </w:p>
        </w:tc>
      </w:tr>
      <w:tr w:rsidR="001223AC" w14:paraId="25C17516"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4B334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FA613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Parameter_Soil_pH</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Parameter_Soil_pH_Yes</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70469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50A68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80.00000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11988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8.333333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156D4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0.0000000003393639147125115</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0D13E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6.279637</w:t>
            </w:r>
          </w:p>
        </w:tc>
      </w:tr>
      <w:tr w:rsidR="001223AC" w14:paraId="20308C30"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B5A39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52709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r>
              <w:rPr>
                <w:rFonts w:ascii="Arial" w:eastAsia="Arial" w:hAnsi="Arial" w:cs="Arial"/>
                <w:color w:val="000000"/>
                <w:sz w:val="8"/>
                <w:szCs w:val="8"/>
              </w:rPr>
              <w:t>Parameter_Nutrient_availability=Parameter_Nutrient_availability_Yes</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B701D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87.50000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CD6D0A"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DD08BA"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8.333333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A4973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0.0000000785061856034941511</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4A1C6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5.370529</w:t>
            </w:r>
          </w:p>
        </w:tc>
      </w:tr>
      <w:tr w:rsidR="001223AC" w14:paraId="422F4463"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7ECF2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DDCA1B"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Parameter_Soil_moisture</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Parameter_Soil_moisture_Yes</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9F5DD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66.66667</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DF624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CB57E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9.375000</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F70AC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0.0000172584752877646469731</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6595C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4.297693</w:t>
            </w:r>
          </w:p>
        </w:tc>
      </w:tr>
      <w:tr w:rsidR="001223AC" w14:paraId="23BF41C6"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5F6F0B"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33D41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r>
              <w:rPr>
                <w:rFonts w:ascii="Arial" w:eastAsia="Arial" w:hAnsi="Arial" w:cs="Arial"/>
                <w:color w:val="000000"/>
                <w:sz w:val="8"/>
                <w:szCs w:val="8"/>
              </w:rPr>
              <w:t>Occupation_Educational_Institutions_Research=Occupation_Educational_Institutions_Research_Yes</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5D0B3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46.66667</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841D0B"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5ADD3A"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15.625000</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E5D6A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0.0000524427014903932497579</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69BE8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4.044465</w:t>
            </w:r>
          </w:p>
        </w:tc>
      </w:tr>
      <w:tr w:rsidR="001223AC" w14:paraId="69BD1D49"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4AFEC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1DEF5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Occupation_NGOs</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Occupation_NGOs_Yes</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72BF2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43.75000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1D2FD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C1F73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16.666667</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34FEB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0.0000907005218457162252273</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1BE21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3.914210</w:t>
            </w:r>
          </w:p>
        </w:tc>
      </w:tr>
      <w:tr w:rsidR="001223AC" w14:paraId="38AED095"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197BA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AA3C8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Scale_National</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Scale_National_Yes</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E0754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38.88889</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00497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0FFD5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18.750000</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764CD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0.0002386119642129227579486</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6EBF5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3.674183</w:t>
            </w:r>
          </w:p>
        </w:tc>
      </w:tr>
      <w:tr w:rsidR="001223AC" w14:paraId="17291982"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84C08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DA605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Occupation_Agroindustry</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Occupation_Agroindustry_Yes</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AFDCE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36.84211</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B9586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81A89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19.791667</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2D404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0.0003672540816572043994269</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08EAEB"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3.562561</w:t>
            </w:r>
          </w:p>
        </w:tc>
      </w:tr>
      <w:tr w:rsidR="001223AC" w14:paraId="5D59B046"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C4456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A83F1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r>
              <w:rPr>
                <w:rFonts w:ascii="Arial" w:eastAsia="Arial" w:hAnsi="Arial" w:cs="Arial"/>
                <w:color w:val="000000"/>
                <w:sz w:val="8"/>
                <w:szCs w:val="8"/>
              </w:rPr>
              <w:t>Occupation_Public_Administrators=Occupation_Public_Administrators_Yes</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891CB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28.00000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1E62C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C05A2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26.041667</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4ED57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0.0029385365540606990693295</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61287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2.974095</w:t>
            </w:r>
          </w:p>
        </w:tc>
      </w:tr>
      <w:tr w:rsidR="001223AC" w14:paraId="60ADB873"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CC47D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EDF2B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Parameter_CEC</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Parameter_CEC_Yes</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84C22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75.00000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1A099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EDFBFB"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4.166667</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E8B32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0.0032330311021204309607224</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2D0F3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2.944666</w:t>
            </w:r>
          </w:p>
        </w:tc>
      </w:tr>
      <w:tr w:rsidR="001223AC" w14:paraId="4E50ED5F"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89FD35"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C37D2B"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r>
              <w:rPr>
                <w:rFonts w:ascii="Arial" w:eastAsia="Arial" w:hAnsi="Arial" w:cs="Arial"/>
                <w:color w:val="000000"/>
                <w:sz w:val="8"/>
                <w:szCs w:val="8"/>
              </w:rPr>
              <w:t>Parameter_Particle_size_distribution_Texture=Parameter_Particle_size_distribution_Texture_Yes</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A5CD2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60.00000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BD79D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F8DB7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5.208333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0754D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0.0077747448206323477651325</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4DBCC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2.661699</w:t>
            </w:r>
          </w:p>
        </w:tc>
      </w:tr>
      <w:tr w:rsidR="001223AC" w14:paraId="053A821B"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AF3AB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6D4DB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Scale_Local</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Scale_Local_Yes</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4B0BE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16.12903</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15172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270D4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64.583333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349D1A"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0.0095318825121910085579335</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7BDF8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2.592364</w:t>
            </w:r>
          </w:p>
        </w:tc>
      </w:tr>
      <w:tr w:rsidR="001223AC" w14:paraId="028713B4"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9DED4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A54BE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r>
              <w:rPr>
                <w:rFonts w:ascii="Arial" w:eastAsia="Arial" w:hAnsi="Arial" w:cs="Arial"/>
                <w:color w:val="000000"/>
                <w:sz w:val="8"/>
                <w:szCs w:val="8"/>
              </w:rPr>
              <w:t>Parameter_Water_holding_capacity=Parameter_Water_holding_capacity_Yes</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5CFDB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7D019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B2974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2.083333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61888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0.0098684210526315714606671</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C097AA"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2.580406</w:t>
            </w:r>
          </w:p>
        </w:tc>
      </w:tr>
      <w:tr w:rsidR="001223AC" w14:paraId="7A3975B4"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0B83A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C7994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Parameter_Soil_type</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Parameter_Soil_type_Yes</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4F4AC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F55B7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C19DB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2.083333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CD7BDB"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0.0098684210526315714606671</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1567B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2.580406</w:t>
            </w:r>
          </w:p>
        </w:tc>
      </w:tr>
      <w:tr w:rsidR="001223AC" w14:paraId="1F02F543"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65758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lastRenderedPageBreak/>
              <w:t>2</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5973C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Parameter_Soil_porosity</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Parameter_Soil_porosity_Yes</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BAC58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387CA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13A7E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2.083333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1D257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0.0098684210526315714606671</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32B97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2.580406</w:t>
            </w:r>
          </w:p>
        </w:tc>
      </w:tr>
      <w:tr w:rsidR="001223AC" w14:paraId="450CE38D"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87C0C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FAE63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Parameter_Soil_temperature</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Parameter_Soil_temperature_Yes</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5F6D2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EA62F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E30DE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2.083333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99E40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0.0098684210526315714606671</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CEFEAB"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2.580406</w:t>
            </w:r>
          </w:p>
        </w:tc>
      </w:tr>
      <w:tr w:rsidR="001223AC" w14:paraId="4634B9DD"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82749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C05D1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r>
              <w:rPr>
                <w:rFonts w:ascii="Arial" w:eastAsia="Arial" w:hAnsi="Arial" w:cs="Arial"/>
                <w:color w:val="000000"/>
                <w:sz w:val="8"/>
                <w:szCs w:val="8"/>
              </w:rPr>
              <w:t>Purpose=</w:t>
            </w:r>
            <w:proofErr w:type="spellStart"/>
            <w:r>
              <w:rPr>
                <w:rFonts w:ascii="Arial" w:eastAsia="Arial" w:hAnsi="Arial" w:cs="Arial"/>
                <w:color w:val="000000"/>
                <w:sz w:val="8"/>
                <w:szCs w:val="8"/>
              </w:rPr>
              <w:t>Decision_making</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BFFBB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289CC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14784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2.083333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5830B5"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0.0098684210526315714606671</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51910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2.580406</w:t>
            </w:r>
          </w:p>
        </w:tc>
      </w:tr>
      <w:tr w:rsidR="001223AC" w14:paraId="3083CBC6"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CB3FB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57D63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Scale_Global</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Scale_Global_Yes</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C2300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B98F4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B97D1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2.083333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01ACD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0.0098684210526315714606671</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50456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2.580406</w:t>
            </w:r>
          </w:p>
        </w:tc>
      </w:tr>
      <w:tr w:rsidR="001223AC" w14:paraId="518427A5"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2D43B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8BCD0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Scale_Continental</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Scale_Continental_Yes</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46321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FC189B"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48EF5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2.083333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13A2B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0.0098684210526315714606671</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554D5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2.580406</w:t>
            </w:r>
          </w:p>
        </w:tc>
      </w:tr>
      <w:tr w:rsidR="001223AC" w14:paraId="21B2418F"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F1C22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B22A8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Occupation_Consultancy</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Occupation_Consultancy_Yes</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159CF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20.00000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344EA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80.00000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B963A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41.666667</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3116D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0.0133647760111985404452017</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455A9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2.473898</w:t>
            </w:r>
          </w:p>
        </w:tc>
      </w:tr>
      <w:tr w:rsidR="001223AC" w14:paraId="58E8DF6C"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89BC7A"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1070A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Parameter_Soil_depth</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Parameter_Soil_depth_Yes</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BDC84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36.36364</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B9F675"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30C11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11.458333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6C805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0.0156536972291879683538696</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84ACE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2.416891</w:t>
            </w:r>
          </w:p>
        </w:tc>
      </w:tr>
      <w:tr w:rsidR="001223AC" w14:paraId="49627DF2"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D0081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D3AD6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Driver_Agricultural_practices</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Driver_Agricultural_practices_Yes</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B122A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16.07143</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8B951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90.00000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E3A28B"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58.333333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DF8CC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0.0331786594884368873925595</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27B54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2.129915</w:t>
            </w:r>
          </w:p>
        </w:tc>
      </w:tr>
      <w:tr w:rsidR="001223AC" w14:paraId="48A15B79"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86913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7ED9A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Scale_Global</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Scale_Global_Missing_information</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71C01B"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E381C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F5C0E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3.125000</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F7089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0.0000069988801791713372048</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1116B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4.493723</w:t>
            </w:r>
          </w:p>
        </w:tc>
      </w:tr>
      <w:tr w:rsidR="001223AC" w14:paraId="548BD156"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3F077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0F8B7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Scale_National</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Scale_National_Missing_information</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66700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E3C86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8C02CB"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3.125000</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53E46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0.0000069988801791713372048</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6D7E1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4.493723</w:t>
            </w:r>
          </w:p>
        </w:tc>
      </w:tr>
      <w:tr w:rsidR="001223AC" w14:paraId="17F34C22"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EAAFE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6BEF3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Scale_Regional</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Scale_Regional_Missing_information</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C4DBD5"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3265D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793BA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3.125000</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F1392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0.0000069988801791713372048</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2A405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4.493723</w:t>
            </w:r>
          </w:p>
        </w:tc>
      </w:tr>
      <w:tr w:rsidR="001223AC" w14:paraId="7189AB56"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BC77D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4F260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Scale_Continental</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Scale_Continental_Missing_information</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721AE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75.00000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7FEE2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DF67B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4.166667</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9BB23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0.0000279955207166852946101</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120D0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4.189187</w:t>
            </w:r>
          </w:p>
        </w:tc>
      </w:tr>
      <w:tr w:rsidR="001223AC" w14:paraId="757FA176"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7F097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9BD50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Scale_Local</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Scale_Local_Missing_information</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4763F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75.00000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D334C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9C90A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4.166667</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66594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0.0000279955207166852946101</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7B768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4.189187</w:t>
            </w:r>
          </w:p>
        </w:tc>
      </w:tr>
      <w:tr w:rsidR="001223AC" w14:paraId="7BE5B97F"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622C7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4FDF9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Driver_Grazing</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Driver_Grazing_Yes</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40827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D9B8F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33.33333</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99BC3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1.041667</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D7483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0.0312499999999999965305530</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F9B6C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2.153875</w:t>
            </w:r>
          </w:p>
        </w:tc>
      </w:tr>
      <w:tr w:rsidR="001223AC" w14:paraId="220F8D8D"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0A28C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CC67CA"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Driver_Fire_management</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Driver_Fire_management_No</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B67B0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74.66667</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99F8A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E430D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78.125000</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31DDB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0.0000000001677998316815300</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130E1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6.388245</w:t>
            </w:r>
          </w:p>
        </w:tc>
      </w:tr>
      <w:tr w:rsidR="001223AC" w14:paraId="48B92FA2"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B618D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E4AA6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Driver_Grazing</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Driver_Grazing_No</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6B172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74.66667</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63065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F5DCD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78.125000</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2508C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0.0000000001677998316815300</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CEA5B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6.388245</w:t>
            </w:r>
          </w:p>
        </w:tc>
      </w:tr>
      <w:tr w:rsidR="001223AC" w14:paraId="24AB8D00"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6529E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044FEA"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Driver_Restoration</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Driver_Restoration_No</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7AA02B"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76.38889</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5F7B7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98.21429</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1183D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75.000000</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FC8F1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0.0000000001951870504147713</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0B904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6.365081</w:t>
            </w:r>
          </w:p>
        </w:tc>
      </w:tr>
      <w:tr w:rsidR="001223AC" w14:paraId="55A91DA5"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4D073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1B07D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Driver_Deforestation</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Driver_Deforestation_No</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07F5A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75.00000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67028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96.42857</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D88AD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75.000000</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537B3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0.0000000070749876043666234</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AA41C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5.789135</w:t>
            </w:r>
          </w:p>
        </w:tc>
      </w:tr>
      <w:tr w:rsidR="001223AC" w14:paraId="1918972F"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E313F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80C59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Driver_Land_conversion</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Driver_Land_conversion_No</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28FEC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73.33333</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C4139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98.21429</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30009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78.125000</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93630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0.0000000102022297662369455</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4A793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5.727332</w:t>
            </w:r>
          </w:p>
        </w:tc>
      </w:tr>
      <w:tr w:rsidR="001223AC" w14:paraId="52E5B5E7"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6CB10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CF3F6A"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Driver_Irrigation</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Driver_Irrigation_No</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C0AD5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73.33333</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C772D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98.21429</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8CB85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78.125000</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87764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0.0000000102022297662369455</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D0875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5.727332</w:t>
            </w:r>
          </w:p>
        </w:tc>
      </w:tr>
      <w:tr w:rsidR="001223AC" w14:paraId="4620C424"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8044D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DD075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Driver_Weathering</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Driver_Weathering_No</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6EEF9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73.33333</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EA580A"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98.21429</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40259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78.125000</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EDEC6A"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0.0000000102022297662369455</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9375F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5.727332</w:t>
            </w:r>
          </w:p>
        </w:tc>
      </w:tr>
      <w:tr w:rsidR="001223AC" w14:paraId="1BAE60EC"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11834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E516DA"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Driver_Conservation</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Driver_Conservation_No</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AA728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73.33333</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F95E65"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98.21429</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A713F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78.125000</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B6E62B"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0.0000000102022297662369455</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A8D2D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5.727332</w:t>
            </w:r>
          </w:p>
        </w:tc>
      </w:tr>
      <w:tr w:rsidR="001223AC" w14:paraId="58B24975"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C9022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64191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Driver_Forest_management</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Driver_Forest_management_No</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22499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72.97297</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6CEF7B"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96.42857</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2C172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77.083333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81FCDA"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0.0000000851886185480783860</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CE196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5.355779</w:t>
            </w:r>
          </w:p>
        </w:tc>
      </w:tr>
      <w:tr w:rsidR="001223AC" w14:paraId="5B267351"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B8E5B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50AF7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Data_Land_Management</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Data_Land_Management_Yes</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690F5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80.76923</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7F9BD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75.00000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8B136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54.166667</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75018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0.0000013071477105676164779</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C89C7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4.838664</w:t>
            </w:r>
          </w:p>
        </w:tc>
      </w:tr>
      <w:tr w:rsidR="001223AC" w14:paraId="08B2179D"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22C35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ADB7E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r>
              <w:rPr>
                <w:rFonts w:ascii="Arial" w:eastAsia="Arial" w:hAnsi="Arial" w:cs="Arial"/>
                <w:color w:val="000000"/>
                <w:sz w:val="8"/>
                <w:szCs w:val="8"/>
              </w:rPr>
              <w:t>Driver_Afforestation_Reforestation=Driver_Afforestation_Reforestation_No</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75E3BA"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72.22222</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AE2E3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92.85714</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30A19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75.000000</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B3159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0.0000022323136906437133829</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4EFFA5"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4.731168</w:t>
            </w:r>
          </w:p>
        </w:tc>
      </w:tr>
      <w:tr w:rsidR="001223AC" w14:paraId="6126C063"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409E2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FF3C6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Driver_Agricultural_practices</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Driver_Agricultural_practices_Yes</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BC557A"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78.57143</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28119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78.57143</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38D49B"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58.333333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4121F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0.0000022655254026254713446</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C0CA8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4.728170</w:t>
            </w:r>
          </w:p>
        </w:tc>
      </w:tr>
      <w:tr w:rsidR="001223AC" w14:paraId="722E19A5"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AF6EE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3E851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Occupation_Farmers</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Occupation_Farmers_Yes</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8374E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76.27119</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29983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80.35714</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C05F7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61.458333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1AA74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0.0000084771505227458199255</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911DB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4.452765</w:t>
            </w:r>
          </w:p>
        </w:tc>
      </w:tr>
      <w:tr w:rsidR="001223AC" w14:paraId="5BCE7E6C"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9ACE3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E711B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Occupation_Consultancy</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Occupation_Consultancy_No</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A06B2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77.77778</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3CB6A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75.00000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37F09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56.250000</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14EAF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0.0000138026038669852458966</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866B4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4.346978</w:t>
            </w:r>
          </w:p>
        </w:tc>
      </w:tr>
      <w:tr w:rsidR="001223AC" w14:paraId="06F68D22"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D4EA3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296EC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Parameter_Soil_pH</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Parameter_Soil_pH_No</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8AE63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63.63636</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AE885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B28DCA"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91.666667</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F639BA"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0.0005799705546962772651290</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116905"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3.440812</w:t>
            </w:r>
          </w:p>
        </w:tc>
      </w:tr>
      <w:tr w:rsidR="001223AC" w14:paraId="38A113CB"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90FA3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DADD0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Result_based</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Result_based_Yes</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5F1EDA"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70.49180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2F76F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76.78571</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F3156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63.541667</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88008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0.0017736008488944761569972</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8A2B0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3.125737</w:t>
            </w:r>
          </w:p>
        </w:tc>
      </w:tr>
      <w:tr w:rsidR="001223AC" w14:paraId="1CCC05D8"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81166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456E7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Scale_National</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Scale_National_No</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AADD0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66.66667</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ED8E9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89.28571</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83E9C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78.125000</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AD7175"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0.0023749578382970737075452</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E6656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3.038834</w:t>
            </w:r>
          </w:p>
        </w:tc>
      </w:tr>
      <w:tr w:rsidR="001223AC" w14:paraId="0D55B76B"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08ED8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8C7D5A"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Land_use_Peatland_Wetland</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Land_use_Peatland_Wetland_No</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B1B97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63.21839</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24E6EB"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98.21429</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BB934B"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90.625000</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0EA0DA"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0.0037434463075850634219965</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3DA7A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2.899009</w:t>
            </w:r>
          </w:p>
        </w:tc>
      </w:tr>
      <w:tr w:rsidR="001223AC" w14:paraId="642FCED9"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6A401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2A73E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Scale_Continental</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Scale_Continental_No</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AC1BF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62.22222</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B9801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72D28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93.750000</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039AD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0.0041404315001044465424651</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576E4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2.867260</w:t>
            </w:r>
          </w:p>
        </w:tc>
      </w:tr>
      <w:tr w:rsidR="001223AC" w14:paraId="3ECB8D5E"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1F484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259A45"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Format_Document</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Format_Document_No</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9C434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88.23529</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CDB81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26.78571</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1BEDC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17.708333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7E81BB"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0.0051999190620953539276883</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43958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2.794381</w:t>
            </w:r>
          </w:p>
        </w:tc>
      </w:tr>
      <w:tr w:rsidR="001223AC" w14:paraId="4B62883D"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FB33A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F8713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r>
              <w:rPr>
                <w:rFonts w:ascii="Arial" w:eastAsia="Arial" w:hAnsi="Arial" w:cs="Arial"/>
                <w:color w:val="000000"/>
                <w:sz w:val="8"/>
                <w:szCs w:val="8"/>
              </w:rPr>
              <w:t>Parameter_Nutrient_availability=Parameter_Nutrient_availability_No</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1C40F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62.50000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F62D5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98.21429</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3606A5"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91.666667</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A9CFF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0.0090334807610268769151318</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9B2EE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2.610784</w:t>
            </w:r>
          </w:p>
        </w:tc>
      </w:tr>
      <w:tr w:rsidR="001223AC" w14:paraId="32DD541B"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117AD5"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A1FBB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Scale_Global</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Scale_Global_No</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42A07B"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61.53846</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1351F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3C754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94.791667</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6C0AF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0.0107651219002715368977530</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EEA92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2.550232</w:t>
            </w:r>
          </w:p>
        </w:tc>
      </w:tr>
      <w:tr w:rsidR="001223AC" w14:paraId="6A4EF65F"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F0561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2398BA"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Data_Soil_samples</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Data_Soil_samples_Yes</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A718D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68.33333</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7016D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73.21429</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2A0FA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62.500000</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A82F3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0.0120778681169248225391044</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2778B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2.509861</w:t>
            </w:r>
          </w:p>
        </w:tc>
      </w:tr>
      <w:tr w:rsidR="001223AC" w14:paraId="2B0470E9"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4E77F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5C6C2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Action_based</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Action_based_No</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AE347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69.81132</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1E9AD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66.07143</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26B7AB"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55.208333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60F03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0.0129007331728683803662161</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ED3B2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2.486498</w:t>
            </w:r>
          </w:p>
        </w:tc>
      </w:tr>
      <w:tr w:rsidR="001223AC" w14:paraId="795A5E58"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6C77A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36454A"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Scale_Local</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Scale_Local_Yes</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0CEDA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67.74194</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058A8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75.00000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A0A16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64.583333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5DD5E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0.0136279461491876346251884</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E2AED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2.466924</w:t>
            </w:r>
          </w:p>
        </w:tc>
      </w:tr>
      <w:tr w:rsidR="001223AC" w14:paraId="2D403932"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E259E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A0614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Parameter_Soil_depth</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Parameter_Soil_depth_No</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C03FD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63.09524</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5D5E7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94.64286</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FEBD45"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87.500000</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AFF46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0.0167458629021905516798263</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40FD3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2.392241</w:t>
            </w:r>
          </w:p>
        </w:tc>
      </w:tr>
      <w:tr w:rsidR="001223AC" w14:paraId="09DB7AE3"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DF0EC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47ADE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Format_Online</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Format_Online_Yes</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E86D0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75.86207</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ABC99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39.28571</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60643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30.208333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F26A9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0.0231373734201498794382790</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EF715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2.271159</w:t>
            </w:r>
          </w:p>
        </w:tc>
      </w:tr>
      <w:tr w:rsidR="001223AC" w14:paraId="5EA21D2C"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06022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8D41A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Data_Spatial_images</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Data_Spatial_images_Yes</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1D437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68.51852</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B2203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66.07143</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8AE51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56.250000</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82F6D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0.0244162675625151544267499</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44C0B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2.250515</w:t>
            </w:r>
          </w:p>
        </w:tc>
      </w:tr>
      <w:tr w:rsidR="001223AC" w14:paraId="55168DB3"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460205"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C835E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Parameter_Soil_moisture</w:t>
            </w:r>
            <w:proofErr w:type="spellEnd"/>
            <w:r>
              <w:rPr>
                <w:rFonts w:ascii="Arial" w:eastAsia="Arial" w:hAnsi="Arial" w:cs="Arial"/>
                <w:color w:val="000000"/>
                <w:sz w:val="8"/>
                <w:szCs w:val="8"/>
              </w:rPr>
              <w:t>=Parameter_Soil_moisture_No</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C8F90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62.06897</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070D4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96.42857</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949D4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90.625000</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619F4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0.0292094261183397999048772</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2755E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2.180648</w:t>
            </w:r>
          </w:p>
        </w:tc>
      </w:tr>
      <w:tr w:rsidR="001223AC" w14:paraId="16A98631"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46FA9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5</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09838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Land_use_Peatland_Wetland</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Land_use_Peatland_Wetland_Yes</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0681E5"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55.55556</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B1F11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83.33333</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7B542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9.375000</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58309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0.0000120058468927418557587</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4DC5C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4.377482</w:t>
            </w:r>
          </w:p>
        </w:tc>
      </w:tr>
      <w:tr w:rsidR="001223AC" w14:paraId="18D0D326"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8DB4E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5</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62F1F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Data_Spatial_images</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Data_Spatial_images_Missing_information</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E972F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80.00000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EC31B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66.66667</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3B237A"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5.208333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CCC06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0.0000222825497990447695231</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FF363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4.240698</w:t>
            </w:r>
          </w:p>
        </w:tc>
      </w:tr>
      <w:tr w:rsidR="001223AC" w14:paraId="53F18BA0"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411E7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5</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3B786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Data_Land_Management</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Data_Land_Management_Missing_information</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86DCD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80.00000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D2DA4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66.66667</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0CBC25"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5.208333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9AB5E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0.0000222825497990447695231</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4220D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4.240698</w:t>
            </w:r>
          </w:p>
        </w:tc>
      </w:tr>
      <w:tr w:rsidR="001223AC" w14:paraId="2565A2F4"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865E9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5</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E72B5B"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Data_Modelling</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Data_Modelling_Missing_information</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7728E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66.66667</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6A41BA"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66.66667</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683B6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6.250000</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BCFA6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0.0000659695937483749069493</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DE18A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3.990373</w:t>
            </w:r>
          </w:p>
        </w:tc>
      </w:tr>
      <w:tr w:rsidR="001223AC" w14:paraId="00966744"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29390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5</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7D2825"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Data_Soil_samples</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Data_Soil_samples_Missing_information</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79D72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66.66667</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40BAFB"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66.66667</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51FCA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6.250000</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56B23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0.0000659695937483749069493</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FED0A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3.990373</w:t>
            </w:r>
          </w:p>
        </w:tc>
      </w:tr>
      <w:tr w:rsidR="001223AC" w14:paraId="35C5D01C"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0446B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5</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19980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Result_based</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Result_based_Missing_information</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E8FBD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26.08696</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128CB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ADE2D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23.958333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E3093A"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0.0001088907660630376400502</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E5AA5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3.869876</w:t>
            </w:r>
          </w:p>
        </w:tc>
      </w:tr>
      <w:tr w:rsidR="001223AC" w14:paraId="414AD1F8"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CD94A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5</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CD3D6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Action_based</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Action_based_Missing_information</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BAB8F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26.08696</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55F74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FB3C3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23.958333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415B4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0.0001088907660630376400502</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586C9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3.869876</w:t>
            </w:r>
          </w:p>
        </w:tc>
      </w:tr>
      <w:tr w:rsidR="001223AC" w14:paraId="06929B6E"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65ED4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5</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4BF8D5"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Driver_Restoration</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Driver_Restoration_Yes</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95E6F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75.00000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CA2E3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50.00000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5B5BA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4.166667</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D7080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0.0005508796011992917341510</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5CCF8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3.454713</w:t>
            </w:r>
          </w:p>
        </w:tc>
      </w:tr>
      <w:tr w:rsidR="001223AC" w14:paraId="7B7DEA48"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618A9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5</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0E0B6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Parameter_Soil_depth</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Parameter_Soil_depth_Yes</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D8851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36.36364</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76F4A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66.66667</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93E20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11.458333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54594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0.0013565247836319874359667</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F1CE2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3.203745</w:t>
            </w:r>
          </w:p>
        </w:tc>
      </w:tr>
      <w:tr w:rsidR="001223AC" w14:paraId="2E620635"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91B6C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5</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1DDC6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Occupation_Project_developer</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Occupation_Project_developer_Yes</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9DAC7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33.33333</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EE490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66.66667</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74EF7B"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12.500000</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141C4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0.0020068792445576801378171</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8D7F85"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3.089212</w:t>
            </w:r>
          </w:p>
        </w:tc>
      </w:tr>
      <w:tr w:rsidR="001223AC" w14:paraId="22122D0E"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94E085"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5</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7609C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Parameter_Subsidence</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Parameter_Subsidence_Yes</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632C9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B2220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33.33333</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D02E7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2.083333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93C02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0.0032894736842105274342296</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4097F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2.939307</w:t>
            </w:r>
          </w:p>
        </w:tc>
      </w:tr>
      <w:tr w:rsidR="001223AC" w14:paraId="4C9E9CB0"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573B8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5</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93111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r>
              <w:rPr>
                <w:rFonts w:ascii="Arial" w:eastAsia="Arial" w:hAnsi="Arial" w:cs="Arial"/>
                <w:color w:val="000000"/>
                <w:sz w:val="8"/>
                <w:szCs w:val="8"/>
              </w:rPr>
              <w:t>Land_use_Agriculture=</w:t>
            </w:r>
            <w:proofErr w:type="spellStart"/>
            <w:r>
              <w:rPr>
                <w:rFonts w:ascii="Arial" w:eastAsia="Arial" w:hAnsi="Arial" w:cs="Arial"/>
                <w:color w:val="000000"/>
                <w:sz w:val="8"/>
                <w:szCs w:val="8"/>
              </w:rPr>
              <w:t>Land_use_Agriculture_No</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038CE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23.52941</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4142D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66.66667</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AD686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17.708333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8A0EE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0.0089911560854330618147712</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6AA09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2.612390</w:t>
            </w:r>
          </w:p>
        </w:tc>
      </w:tr>
      <w:tr w:rsidR="001223AC" w14:paraId="2C3C25CA"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EDE6B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5</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BA334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Driver_Agricultural_practices</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Driver_Agricultural_practices_No</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4E41C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20.00000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3E231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66.66667</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D430B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20.833333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5DF24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0.0175205304080897142360307</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23D20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2.375598</w:t>
            </w:r>
          </w:p>
        </w:tc>
      </w:tr>
      <w:tr w:rsidR="001223AC" w14:paraId="76490D61"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827D6B"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122CD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r>
              <w:rPr>
                <w:rFonts w:ascii="Arial" w:eastAsia="Arial" w:hAnsi="Arial" w:cs="Arial"/>
                <w:color w:val="000000"/>
                <w:sz w:val="8"/>
                <w:szCs w:val="8"/>
              </w:rPr>
              <w:t>Driver_Fire_management=Driver_Fire_management_Missing_information</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4F0C1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95.00000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8EF1D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DFD29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20.833333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9FBC4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0.0000000000000000003561804</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06070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8.949783</w:t>
            </w:r>
          </w:p>
        </w:tc>
      </w:tr>
      <w:tr w:rsidR="001223AC" w14:paraId="2641ED0B"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93410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321D2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Driver_Deforestation</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Driver_Deforestation_Missing_information</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9648C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95.00000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71BBD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3F71D5"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20.833333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FECC9A"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0.0000000000000000003561804</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FBE9B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8.949783</w:t>
            </w:r>
          </w:p>
        </w:tc>
      </w:tr>
      <w:tr w:rsidR="001223AC" w14:paraId="09E79859"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2F977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D35DB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r>
              <w:rPr>
                <w:rFonts w:ascii="Arial" w:eastAsia="Arial" w:hAnsi="Arial" w:cs="Arial"/>
                <w:color w:val="000000"/>
                <w:sz w:val="8"/>
                <w:szCs w:val="8"/>
              </w:rPr>
              <w:t>Driver_Forest_management=Driver_Forest_management_Missing_information</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C018D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95.00000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86C42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1F0AC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20.833333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ECE6C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0.0000000000000000003561804</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5F525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8.949783</w:t>
            </w:r>
          </w:p>
        </w:tc>
      </w:tr>
      <w:tr w:rsidR="001223AC" w14:paraId="48A750E2"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CC4AA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58A49B"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r>
              <w:rPr>
                <w:rFonts w:ascii="Arial" w:eastAsia="Arial" w:hAnsi="Arial" w:cs="Arial"/>
                <w:color w:val="000000"/>
                <w:sz w:val="8"/>
                <w:szCs w:val="8"/>
              </w:rPr>
              <w:t>Driver_Afforestation_Reforestation=Driver_Afforestation_Reforestation_Missing_information</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AFDA7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95.00000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5E34A5"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16772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20.833333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E7065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0.0000000000000000003561804</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EBF1C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8.949783</w:t>
            </w:r>
          </w:p>
        </w:tc>
      </w:tr>
      <w:tr w:rsidR="001223AC" w14:paraId="5D44F0B8"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D6D60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lastRenderedPageBreak/>
              <w:t>6</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DDA1E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r>
              <w:rPr>
                <w:rFonts w:ascii="Arial" w:eastAsia="Arial" w:hAnsi="Arial" w:cs="Arial"/>
                <w:color w:val="000000"/>
                <w:sz w:val="8"/>
                <w:szCs w:val="8"/>
              </w:rPr>
              <w:t>Driver_Land_conversion=Driver_Land_conversion_Missing_information</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99398B"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95.00000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41516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DDAAD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20.833333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EF2D8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0.0000000000000000003561804</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B27BD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8.949783</w:t>
            </w:r>
          </w:p>
        </w:tc>
      </w:tr>
      <w:tr w:rsidR="001223AC" w14:paraId="5B64BC87"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D39CF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3A36BB"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Driver_Irrigation</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Driver_Irrigation_Missing_information</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526CD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95.00000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2643D5"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05000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20.833333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DF92A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0.0000000000000000003561804</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0985F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8.949783</w:t>
            </w:r>
          </w:p>
        </w:tc>
      </w:tr>
      <w:tr w:rsidR="001223AC" w14:paraId="197BB2E0"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A16D9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F739CA"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Driver_Grazing</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Driver_Grazing_Missing_information</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70C9B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95.00000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F7F27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1E59F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20.833333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6D0C5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0.0000000000000000003561804</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7EB89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8.949783</w:t>
            </w:r>
          </w:p>
        </w:tc>
      </w:tr>
      <w:tr w:rsidR="001223AC" w14:paraId="479F58C3"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89FC5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A25B9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Driver_Weathering</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Driver_Weathering_Missing_information</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A07C5B"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95.00000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CF9A6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6452F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20.833333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CFA1D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0.0000000000000000003561804</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81E79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8.949783</w:t>
            </w:r>
          </w:p>
        </w:tc>
      </w:tr>
      <w:tr w:rsidR="001223AC" w14:paraId="43D531BB"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1D0BC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5AA4F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Driver_Restoration</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Driver_Restoration_Missing_information</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699D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95.00000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F9140B"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82A75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20.833333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5B6B8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0.0000000000000000003561804</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3A1F7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8.949783</w:t>
            </w:r>
          </w:p>
        </w:tc>
      </w:tr>
      <w:tr w:rsidR="001223AC" w14:paraId="2694EEB8"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E19A3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E519A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Driver_Conservation</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Driver_Conservation_Missing_information</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16CD7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95.00000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D4992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0562D5"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20.833333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AD7F8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0.0000000000000000003561804</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01A14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8.949783</w:t>
            </w:r>
          </w:p>
        </w:tc>
      </w:tr>
      <w:tr w:rsidR="001223AC" w14:paraId="03D47176"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96DF1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F92B7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r>
              <w:rPr>
                <w:rFonts w:ascii="Arial" w:eastAsia="Arial" w:hAnsi="Arial" w:cs="Arial"/>
                <w:color w:val="000000"/>
                <w:sz w:val="8"/>
                <w:szCs w:val="8"/>
              </w:rPr>
              <w:t>Driver_Agricultural_practices=Driver_Agricultural_practices_Missing_information</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04E08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95.00000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26574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EF66D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20.833333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49C98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0.0000000000000000003561804</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C453E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8.949783</w:t>
            </w:r>
          </w:p>
        </w:tc>
      </w:tr>
      <w:tr w:rsidR="001223AC" w14:paraId="2FF37BED"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115E7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6291B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Format_Online</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Format_Online_Missing_information</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7DDF9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66.66667</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F6AAB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94.73684</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FF5385"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28.125000</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33DB8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0.0000000000058383500495663</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79851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6.883539</w:t>
            </w:r>
          </w:p>
        </w:tc>
      </w:tr>
      <w:tr w:rsidR="001223AC" w14:paraId="6135EF8E"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E61255"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5A1B8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Format_Document</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Format_Document_Missing_information</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DFAD7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66.66667</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0D8AE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94.73684</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96013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28.125000</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B90075"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0.0000000000058383500495663</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5356C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6.883539</w:t>
            </w:r>
          </w:p>
        </w:tc>
      </w:tr>
      <w:tr w:rsidR="001223AC" w14:paraId="488FCB99"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3408C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42A81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Occupation_Farmers</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Occupation_Farmers_No</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3771D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50.00000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1820A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89.47368</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A86D3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35.416667</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72301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0.0000000835216754842071096</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ABD82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5.359351</w:t>
            </w:r>
          </w:p>
        </w:tc>
      </w:tr>
      <w:tr w:rsidR="001223AC" w14:paraId="239DD66C"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82835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F5D435"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Data_Land_Management</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Data_Land_Management_No</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DADE2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43.58974</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89636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89.47368</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B702B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40.625000</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F0FFD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0.0000015792414038774458826</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93227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4.800938</w:t>
            </w:r>
          </w:p>
        </w:tc>
      </w:tr>
      <w:tr w:rsidR="001223AC" w14:paraId="746F1C51"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37A0A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1A57EB"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Occupation_Consultancy</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Occupation_Consultancy_Yes</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ABAFF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42.50000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8A1ED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89.47368</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CD4FC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41.666667</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7B72C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0.0000026643899291140632083</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EFB13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4.695129</w:t>
            </w:r>
          </w:p>
        </w:tc>
      </w:tr>
      <w:tr w:rsidR="001223AC" w14:paraId="47D6A1DB"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9E413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39BE1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Result_based</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Result_based_No</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3D6425"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75.00000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37D4B5"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47.36842</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E7F88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12.500000</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350AA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0.0000117018632309677236630</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E7C0A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4.383070</w:t>
            </w:r>
          </w:p>
        </w:tc>
      </w:tr>
      <w:tr w:rsidR="001223AC" w14:paraId="752D8E8A"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0C2A9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C9FEFA"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Data_Soil_samples</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Data_Soil_samples_No</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4791CB"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46.66667</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B0CB7A"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73.68421</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7AB9A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31.250000</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31D7B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0.0000273735130716101307817</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2D9EA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4.194284</w:t>
            </w:r>
          </w:p>
        </w:tc>
      </w:tr>
      <w:tr w:rsidR="001223AC" w14:paraId="28AAF5FC"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C244B5"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D2C845"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Scale_Local</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Scale_Local_No</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59C3E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43.33333</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BE322A"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68.42105</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9751A5"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31.250000</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23FF5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0.0002443027663172734785177</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082CC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3.668160</w:t>
            </w:r>
          </w:p>
        </w:tc>
      </w:tr>
      <w:tr w:rsidR="001223AC" w14:paraId="78B6B11E"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AB8BA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196DF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r>
              <w:rPr>
                <w:rFonts w:ascii="Arial" w:eastAsia="Arial" w:hAnsi="Arial" w:cs="Arial"/>
                <w:color w:val="000000"/>
                <w:sz w:val="8"/>
                <w:szCs w:val="8"/>
              </w:rPr>
              <w:t>Parameter_Soil_compaction_Bulk_density=Parameter_Soil_compaction_Bulk_density_No</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9C96F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28.78788</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5758EB"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FB0026"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68.750000</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415DF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0.0003081428039770273325827</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BD998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3.608357</w:t>
            </w:r>
          </w:p>
        </w:tc>
      </w:tr>
      <w:tr w:rsidR="001223AC" w14:paraId="3FDD7AF2"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B5C22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E58478"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Action_based</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Action_based_Yes</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17BB9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45.00000</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83B0E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47.36842</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27224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20.833333</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59ED4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0.0039159483904249569458100</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EFC82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2.884854</w:t>
            </w:r>
          </w:p>
        </w:tc>
      </w:tr>
      <w:tr w:rsidR="001223AC" w14:paraId="73D99AEA"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C2716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854DF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Data_Modelling</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Data_Modelling_Yes</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0BE20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25.33333</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EA16E9"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7D944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78.125000</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AD508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0.0051084409465387671869796</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F695B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2.800115</w:t>
            </w:r>
          </w:p>
        </w:tc>
      </w:tr>
      <w:tr w:rsidR="001223AC" w14:paraId="0BB3F55A"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18E74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6CD0A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Occupation_NGOs</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Occupation_NGOs_No</w:t>
            </w:r>
            <w:proofErr w:type="spellEnd"/>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8E66E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24.35897</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0D53A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4FE57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81.250000</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2218D5"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0.0119545280829580369968967</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1F9C17"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2.513484</w:t>
            </w:r>
          </w:p>
        </w:tc>
      </w:tr>
      <w:tr w:rsidR="001223AC" w14:paraId="5D3C068E" w14:textId="77777777">
        <w:trPr>
          <w:jc w:val="center"/>
        </w:trPr>
        <w:tc>
          <w:tcPr>
            <w:tcW w:w="5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D82CC1"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w:t>
            </w:r>
          </w:p>
        </w:tc>
        <w:tc>
          <w:tcPr>
            <w:tcW w:w="427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399E4A"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r>
              <w:rPr>
                <w:rFonts w:ascii="Arial" w:eastAsia="Arial" w:hAnsi="Arial" w:cs="Arial"/>
                <w:color w:val="000000"/>
                <w:sz w:val="8"/>
                <w:szCs w:val="8"/>
              </w:rPr>
              <w:t>Occupation_Educational_Institutions_Research=Occupation_Educational_Institutions_Research_No</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7A3CE0"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24.05063</w:t>
            </w:r>
          </w:p>
        </w:tc>
        <w:tc>
          <w:tcPr>
            <w:tcW w:w="5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7E157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100.00000</w:t>
            </w:r>
          </w:p>
        </w:tc>
        <w:tc>
          <w:tcPr>
            <w:tcW w:w="5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0B84DA"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82.291667</w:t>
            </w:r>
          </w:p>
        </w:tc>
        <w:tc>
          <w:tcPr>
            <w:tcW w:w="128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F45F43"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0.0157401286425613920472166</w:t>
            </w:r>
          </w:p>
        </w:tc>
        <w:tc>
          <w:tcPr>
            <w:tcW w:w="4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F74C6E"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2.414886</w:t>
            </w:r>
          </w:p>
        </w:tc>
      </w:tr>
      <w:tr w:rsidR="001223AC" w14:paraId="64923417" w14:textId="77777777">
        <w:trPr>
          <w:jc w:val="center"/>
        </w:trPr>
        <w:tc>
          <w:tcPr>
            <w:tcW w:w="529"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D4535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6</w:t>
            </w:r>
          </w:p>
        </w:tc>
        <w:tc>
          <w:tcPr>
            <w:tcW w:w="4271"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8D538C"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left"/>
              <w:rPr>
                <w:rFonts w:ascii="Arial" w:eastAsia="Arial" w:hAnsi="Arial" w:cs="Arial"/>
                <w:color w:val="000000"/>
                <w:sz w:val="8"/>
                <w:szCs w:val="8"/>
              </w:rPr>
            </w:pPr>
            <w:proofErr w:type="spellStart"/>
            <w:r>
              <w:rPr>
                <w:rFonts w:ascii="Arial" w:eastAsia="Arial" w:hAnsi="Arial" w:cs="Arial"/>
                <w:color w:val="000000"/>
                <w:sz w:val="8"/>
                <w:szCs w:val="8"/>
              </w:rPr>
              <w:t>Occupation_Agroindustry</w:t>
            </w:r>
            <w:proofErr w:type="spellEnd"/>
            <w:r>
              <w:rPr>
                <w:rFonts w:ascii="Arial" w:eastAsia="Arial" w:hAnsi="Arial" w:cs="Arial"/>
                <w:color w:val="000000"/>
                <w:sz w:val="8"/>
                <w:szCs w:val="8"/>
              </w:rPr>
              <w:t>=</w:t>
            </w:r>
            <w:proofErr w:type="spellStart"/>
            <w:r>
              <w:rPr>
                <w:rFonts w:ascii="Arial" w:eastAsia="Arial" w:hAnsi="Arial" w:cs="Arial"/>
                <w:color w:val="000000"/>
                <w:sz w:val="8"/>
                <w:szCs w:val="8"/>
              </w:rPr>
              <w:t>Occupation_Agroindustry_No</w:t>
            </w:r>
            <w:proofErr w:type="spellEnd"/>
          </w:p>
        </w:tc>
        <w:tc>
          <w:tcPr>
            <w:tcW w:w="57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CAE4C4"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24.32432</w:t>
            </w:r>
          </w:p>
        </w:tc>
        <w:tc>
          <w:tcPr>
            <w:tcW w:w="57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B73B45"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94.73684</w:t>
            </w:r>
          </w:p>
        </w:tc>
        <w:tc>
          <w:tcPr>
            <w:tcW w:w="51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69C0DF"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77.083333</w:t>
            </w:r>
          </w:p>
        </w:tc>
        <w:tc>
          <w:tcPr>
            <w:tcW w:w="128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19200D"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0.0360996493555405875697240</w:t>
            </w:r>
          </w:p>
        </w:tc>
        <w:tc>
          <w:tcPr>
            <w:tcW w:w="47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EF6212" w14:textId="77777777" w:rsidR="001223AC"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right"/>
              <w:rPr>
                <w:rFonts w:ascii="Arial" w:eastAsia="Arial" w:hAnsi="Arial" w:cs="Arial"/>
                <w:color w:val="000000"/>
                <w:sz w:val="8"/>
                <w:szCs w:val="8"/>
              </w:rPr>
            </w:pPr>
            <w:r>
              <w:rPr>
                <w:rFonts w:ascii="Arial" w:eastAsia="Arial" w:hAnsi="Arial" w:cs="Arial"/>
                <w:color w:val="000000"/>
                <w:sz w:val="8"/>
                <w:szCs w:val="8"/>
              </w:rPr>
              <w:t>2.095803</w:t>
            </w:r>
          </w:p>
        </w:tc>
      </w:tr>
    </w:tbl>
    <w:p w14:paraId="57E53164" w14:textId="77777777" w:rsidR="001223AC" w:rsidRDefault="00000000">
      <w:pPr>
        <w:pStyle w:val="Heading2"/>
      </w:pPr>
      <w:bookmarkStart w:id="30" w:name="appendix-7.-decision-tool-script"/>
      <w:bookmarkEnd w:id="29"/>
      <w:r>
        <w:t>Appendix 7. Decision tool script</w:t>
      </w:r>
    </w:p>
    <w:p w14:paraId="0EA4BDC5" w14:textId="77777777" w:rsidR="001223AC" w:rsidRDefault="00000000">
      <w:r>
        <w:t>GIT URL</w:t>
      </w:r>
      <w:bookmarkEnd w:id="23"/>
      <w:bookmarkEnd w:id="30"/>
    </w:p>
    <w:sectPr w:rsidR="001223AC" w:rsidSect="00F512A5">
      <w:footerReference w:type="default" r:id="rId32"/>
      <w:pgSz w:w="11907" w:h="13608"/>
      <w:pgMar w:top="567" w:right="936" w:bottom="1338" w:left="936" w:header="0" w:footer="737" w:gutter="0"/>
      <w:lnNumType w:countBy="5" w:distance="227"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FEC64" w14:textId="77777777" w:rsidR="00F8017A" w:rsidRDefault="00F8017A">
      <w:pPr>
        <w:spacing w:line="240" w:lineRule="auto"/>
      </w:pPr>
      <w:r>
        <w:separator/>
      </w:r>
    </w:p>
  </w:endnote>
  <w:endnote w:type="continuationSeparator" w:id="0">
    <w:p w14:paraId="5EF05DD8" w14:textId="77777777" w:rsidR="00F8017A" w:rsidRDefault="00F801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imHei">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7788171"/>
      <w:docPartObj>
        <w:docPartGallery w:val="Page Numbers (Bottom of Page)"/>
        <w:docPartUnique/>
      </w:docPartObj>
    </w:sdtPr>
    <w:sdtEndPr>
      <w:rPr>
        <w:noProof/>
      </w:rPr>
    </w:sdtEndPr>
    <w:sdtContent>
      <w:p w14:paraId="3A1627B9" w14:textId="77777777" w:rsidR="004465B0"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FEBB7F" w14:textId="77777777" w:rsidR="004465B0" w:rsidRDefault="004465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D0F97" w14:textId="77777777" w:rsidR="00F8017A" w:rsidRDefault="00F8017A">
      <w:r>
        <w:separator/>
      </w:r>
    </w:p>
  </w:footnote>
  <w:footnote w:type="continuationSeparator" w:id="0">
    <w:p w14:paraId="4DB5C0DC" w14:textId="77777777" w:rsidR="00F8017A" w:rsidRDefault="00F801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BFC135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711"/>
    <w:multiLevelType w:val="multilevel"/>
    <w:tmpl w:val="D05CFB56"/>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2" w15:restartNumberingAfterBreak="0">
    <w:nsid w:val="0B294403"/>
    <w:multiLevelType w:val="hybridMultilevel"/>
    <w:tmpl w:val="E6ECA0A2"/>
    <w:lvl w:ilvl="0" w:tplc="35A460C0">
      <w:start w:val="1"/>
      <w:numFmt w:val="decimal"/>
      <w:lvlText w:val="%1."/>
      <w:lvlJc w:val="left"/>
      <w:pPr>
        <w:ind w:left="720" w:hanging="360"/>
      </w:pPr>
      <w:rPr>
        <w:rFonts w:ascii="Times New Roman" w:hAnsi="Times New Roman" w:hint="default"/>
        <w:b w:val="0"/>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3621EB8"/>
    <w:multiLevelType w:val="hybridMultilevel"/>
    <w:tmpl w:val="B3626938"/>
    <w:lvl w:ilvl="0" w:tplc="F29A847E">
      <w:start w:val="1"/>
      <w:numFmt w:val="bullet"/>
      <w:pStyle w:val="Bullets"/>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05780240">
    <w:abstractNumId w:val="3"/>
  </w:num>
  <w:num w:numId="2" w16cid:durableId="1476216129">
    <w:abstractNumId w:val="3"/>
  </w:num>
  <w:num w:numId="3" w16cid:durableId="982927824">
    <w:abstractNumId w:val="2"/>
  </w:num>
  <w:num w:numId="4" w16cid:durableId="1447121754">
    <w:abstractNumId w:val="0"/>
  </w:num>
  <w:num w:numId="5" w16cid:durableId="10908528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3AC"/>
    <w:rsid w:val="00015B3B"/>
    <w:rsid w:val="000B7BDA"/>
    <w:rsid w:val="001223AC"/>
    <w:rsid w:val="00364986"/>
    <w:rsid w:val="00391A14"/>
    <w:rsid w:val="004465B0"/>
    <w:rsid w:val="00462655"/>
    <w:rsid w:val="0049113C"/>
    <w:rsid w:val="00537F89"/>
    <w:rsid w:val="005A6AA0"/>
    <w:rsid w:val="00661EE0"/>
    <w:rsid w:val="00777C58"/>
    <w:rsid w:val="007F00F4"/>
    <w:rsid w:val="00871C4F"/>
    <w:rsid w:val="009529B5"/>
    <w:rsid w:val="009B205B"/>
    <w:rsid w:val="00A33967"/>
    <w:rsid w:val="00C054FF"/>
    <w:rsid w:val="00D43F67"/>
    <w:rsid w:val="00F8017A"/>
    <w:rsid w:val="00FA031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7B019"/>
  <w15:docId w15:val="{3460AF75-3E23-45B6-AE2B-53B3A3D23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CE0"/>
    <w:pPr>
      <w:spacing w:line="360" w:lineRule="auto"/>
      <w:jc w:val="both"/>
    </w:pPr>
    <w:rPr>
      <w:rFonts w:ascii="Times New Roman" w:eastAsia="Times New Roman" w:hAnsi="Times New Roman"/>
      <w:szCs w:val="24"/>
      <w:lang w:eastAsia="de-DE"/>
    </w:rPr>
  </w:style>
  <w:style w:type="paragraph" w:styleId="Heading1">
    <w:name w:val="heading 1"/>
    <w:basedOn w:val="Normal"/>
    <w:next w:val="Normal"/>
    <w:link w:val="Heading1Char"/>
    <w:qFormat/>
    <w:rsid w:val="00075F28"/>
    <w:pPr>
      <w:keepNext/>
      <w:spacing w:before="480" w:after="240" w:line="240" w:lineRule="auto"/>
      <w:outlineLvl w:val="0"/>
    </w:pPr>
    <w:rPr>
      <w:rFonts w:cs="Arial"/>
      <w:b/>
      <w:bCs/>
      <w:color w:val="000000"/>
      <w:kern w:val="32"/>
      <w:szCs w:val="32"/>
    </w:rPr>
  </w:style>
  <w:style w:type="paragraph" w:styleId="Heading2">
    <w:name w:val="heading 2"/>
    <w:basedOn w:val="Normal"/>
    <w:next w:val="Normal"/>
    <w:link w:val="Heading2Char"/>
    <w:qFormat/>
    <w:rsid w:val="00E00339"/>
    <w:pPr>
      <w:keepNext/>
      <w:spacing w:before="240" w:after="240" w:line="240" w:lineRule="auto"/>
      <w:outlineLvl w:val="1"/>
    </w:pPr>
    <w:rPr>
      <w:rFonts w:cs="Arial"/>
      <w:b/>
      <w:bCs/>
      <w:iCs/>
      <w:szCs w:val="28"/>
    </w:rPr>
  </w:style>
  <w:style w:type="paragraph" w:styleId="Heading3">
    <w:name w:val="heading 3"/>
    <w:basedOn w:val="Normal"/>
    <w:next w:val="Normal"/>
    <w:link w:val="Heading3Char"/>
    <w:qFormat/>
    <w:rsid w:val="005A4F32"/>
    <w:pPr>
      <w:keepNext/>
      <w:spacing w:before="240" w:after="240" w:line="240" w:lineRule="auto"/>
      <w:outlineLvl w:val="2"/>
    </w:pPr>
    <w:rPr>
      <w:rFonts w:cs="Arial"/>
      <w:b/>
      <w:bCs/>
      <w:szCs w:val="26"/>
    </w:rPr>
  </w:style>
  <w:style w:type="paragraph" w:styleId="Heading4">
    <w:name w:val="heading 4"/>
    <w:basedOn w:val="Normal"/>
    <w:next w:val="Normal"/>
    <w:link w:val="Heading4Char"/>
    <w:rsid w:val="00ED6B96"/>
    <w:pPr>
      <w:keepNext/>
      <w:outlineLvl w:val="3"/>
    </w:pPr>
    <w:rPr>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treff">
    <w:name w:val="Betreff"/>
    <w:basedOn w:val="Normal"/>
    <w:next w:val="Normal"/>
    <w:rsid w:val="00ED6B96"/>
    <w:rPr>
      <w:b/>
    </w:rPr>
  </w:style>
  <w:style w:type="paragraph" w:customStyle="1" w:styleId="Bullets">
    <w:name w:val="Bullets"/>
    <w:basedOn w:val="Normal"/>
    <w:link w:val="BulletsChar"/>
    <w:rsid w:val="00ED6B96"/>
    <w:pPr>
      <w:numPr>
        <w:numId w:val="2"/>
      </w:numPr>
    </w:pPr>
  </w:style>
  <w:style w:type="character" w:customStyle="1" w:styleId="BulletsChar">
    <w:name w:val="Bullets Char"/>
    <w:link w:val="Bullets"/>
    <w:rsid w:val="00ED6B96"/>
    <w:rPr>
      <w:rFonts w:ascii="Verdana" w:eastAsia="Times New Roman" w:hAnsi="Verdana" w:cs="Times New Roman"/>
      <w:sz w:val="19"/>
      <w:szCs w:val="24"/>
      <w:lang w:eastAsia="de-DE"/>
    </w:rPr>
  </w:style>
  <w:style w:type="table" w:customStyle="1" w:styleId="Copernicus">
    <w:name w:val="Copernicus"/>
    <w:basedOn w:val="TableNormal"/>
    <w:rsid w:val="00ED6B96"/>
    <w:rPr>
      <w:rFonts w:ascii="Verdana" w:eastAsia="Times New Roman" w:hAnsi="Verdana"/>
      <w:sz w:val="19"/>
    </w:rPr>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cPr>
      <w:shd w:val="clear" w:color="auto" w:fill="auto"/>
      <w:vAlign w:val="center"/>
    </w:tcPr>
    <w:tblStylePr w:type="firstRow">
      <w:pPr>
        <w:jc w:val="left"/>
      </w:pPr>
      <w:rPr>
        <w:rFonts w:ascii="Verdana" w:hAnsi="Verdana"/>
        <w:b/>
        <w:i w:val="0"/>
        <w:sz w:val="19"/>
      </w:rPr>
      <w:tblPr/>
      <w:tcPr>
        <w:shd w:val="clear" w:color="auto" w:fill="BFBFBF"/>
      </w:tcPr>
    </w:tblStylePr>
    <w:tblStylePr w:type="lastRow">
      <w:pPr>
        <w:jc w:val="left"/>
      </w:pPr>
      <w:rPr>
        <w:rFonts w:ascii="Verdana" w:hAnsi="Verdana"/>
        <w:sz w:val="19"/>
      </w:rPr>
    </w:tblStylePr>
    <w:tblStylePr w:type="firstCol">
      <w:rPr>
        <w:rFonts w:ascii="Verdana" w:hAnsi="Verdana"/>
        <w:sz w:val="19"/>
      </w:rPr>
    </w:tblStylePr>
    <w:tblStylePr w:type="lastCol">
      <w:rPr>
        <w:rFonts w:ascii="Verdana" w:hAnsi="Verdana"/>
        <w:sz w:val="19"/>
      </w:rPr>
      <w:tblPr/>
      <w:tcP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tblStylePr>
  </w:style>
  <w:style w:type="paragraph" w:styleId="Header">
    <w:name w:val="header"/>
    <w:basedOn w:val="Normal"/>
    <w:link w:val="HeaderChar"/>
    <w:rsid w:val="00ED6B96"/>
    <w:pPr>
      <w:tabs>
        <w:tab w:val="center" w:pos="4536"/>
        <w:tab w:val="right" w:pos="9072"/>
      </w:tabs>
    </w:pPr>
  </w:style>
  <w:style w:type="character" w:customStyle="1" w:styleId="Heading1Char">
    <w:name w:val="Heading 1 Char"/>
    <w:link w:val="Heading1"/>
    <w:rsid w:val="00075F28"/>
    <w:rPr>
      <w:rFonts w:ascii="Times New Roman" w:eastAsia="Times New Roman" w:hAnsi="Times New Roman" w:cs="Arial"/>
      <w:b/>
      <w:bCs/>
      <w:color w:val="000000"/>
      <w:kern w:val="32"/>
      <w:szCs w:val="32"/>
      <w:lang w:eastAsia="de-DE"/>
    </w:rPr>
  </w:style>
  <w:style w:type="character" w:customStyle="1" w:styleId="Heading3Char">
    <w:name w:val="Heading 3 Char"/>
    <w:link w:val="Heading3"/>
    <w:rsid w:val="005A4F32"/>
    <w:rPr>
      <w:rFonts w:ascii="Times New Roman" w:eastAsia="Times New Roman" w:hAnsi="Times New Roman" w:cs="Arial"/>
      <w:b/>
      <w:bCs/>
      <w:szCs w:val="26"/>
      <w:lang w:eastAsia="de-DE"/>
    </w:rPr>
  </w:style>
  <w:style w:type="character" w:customStyle="1" w:styleId="Heading4Char">
    <w:name w:val="Heading 4 Char"/>
    <w:link w:val="Heading4"/>
    <w:rsid w:val="00796A7F"/>
    <w:rPr>
      <w:rFonts w:ascii="Verdana" w:eastAsia="Times New Roman" w:hAnsi="Verdana" w:cs="Times New Roman"/>
      <w:b/>
      <w:bCs/>
      <w:sz w:val="19"/>
      <w:szCs w:val="28"/>
      <w:lang w:eastAsia="de-DE"/>
    </w:rPr>
  </w:style>
  <w:style w:type="character" w:customStyle="1" w:styleId="HeaderChar">
    <w:name w:val="Header Char"/>
    <w:link w:val="Header"/>
    <w:rsid w:val="00ED6B96"/>
    <w:rPr>
      <w:rFonts w:ascii="Verdana" w:eastAsia="Times New Roman" w:hAnsi="Verdana" w:cs="Times New Roman"/>
      <w:sz w:val="19"/>
      <w:szCs w:val="24"/>
      <w:lang w:eastAsia="de-DE"/>
    </w:rPr>
  </w:style>
  <w:style w:type="character" w:customStyle="1" w:styleId="Heading2Char">
    <w:name w:val="Heading 2 Char"/>
    <w:link w:val="Heading2"/>
    <w:rsid w:val="00E00339"/>
    <w:rPr>
      <w:rFonts w:ascii="Times New Roman" w:eastAsia="Times New Roman" w:hAnsi="Times New Roman" w:cs="Arial"/>
      <w:b/>
      <w:bCs/>
      <w:iCs/>
      <w:szCs w:val="28"/>
      <w:lang w:eastAsia="de-DE"/>
    </w:rPr>
  </w:style>
  <w:style w:type="character" w:styleId="Hyperlink">
    <w:name w:val="Hyperlink"/>
    <w:rsid w:val="00ED6B96"/>
    <w:rPr>
      <w:color w:val="0000FF"/>
      <w:u w:val="single"/>
    </w:rPr>
  </w:style>
  <w:style w:type="paragraph" w:customStyle="1" w:styleId="Kontakt">
    <w:name w:val="Kontakt"/>
    <w:basedOn w:val="Normal"/>
    <w:rsid w:val="00ED6B96"/>
    <w:pPr>
      <w:spacing w:line="160" w:lineRule="exact"/>
    </w:pPr>
    <w:rPr>
      <w:color w:val="808080"/>
      <w:sz w:val="13"/>
    </w:rPr>
  </w:style>
  <w:style w:type="paragraph" w:customStyle="1" w:styleId="Name">
    <w:name w:val="Name"/>
    <w:basedOn w:val="Normal"/>
    <w:rsid w:val="00ED6B96"/>
    <w:pPr>
      <w:spacing w:before="160" w:after="80"/>
    </w:pPr>
    <w:rPr>
      <w:rFonts w:ascii="Book Antiqua" w:hAnsi="Book Antiqua"/>
      <w:color w:val="808080"/>
      <w:sz w:val="22"/>
    </w:rPr>
  </w:style>
  <w:style w:type="paragraph" w:customStyle="1" w:styleId="CopernicusWordtemplate">
    <w:name w:val="Copernicus_Word_template"/>
    <w:basedOn w:val="Normal"/>
    <w:link w:val="CopernicusWordtemplateChar"/>
    <w:rsid w:val="00B5719D"/>
  </w:style>
  <w:style w:type="character" w:customStyle="1" w:styleId="CopernicusWordtemplateChar">
    <w:name w:val="Copernicus_Word_template Char"/>
    <w:basedOn w:val="DefaultParagraphFont"/>
    <w:link w:val="CopernicusWordtemplate"/>
    <w:rsid w:val="00B5719D"/>
    <w:rPr>
      <w:rFonts w:ascii="Times New Roman" w:eastAsia="Times New Roman" w:hAnsi="Times New Roman"/>
      <w:sz w:val="24"/>
      <w:szCs w:val="24"/>
      <w:lang w:eastAsia="de-DE"/>
    </w:rPr>
  </w:style>
  <w:style w:type="character" w:styleId="LineNumber">
    <w:name w:val="line number"/>
    <w:basedOn w:val="DefaultParagraphFont"/>
    <w:uiPriority w:val="99"/>
    <w:semiHidden/>
    <w:unhideWhenUsed/>
    <w:rsid w:val="00D40CE0"/>
  </w:style>
  <w:style w:type="paragraph" w:customStyle="1" w:styleId="MStitle">
    <w:name w:val="MS title"/>
    <w:basedOn w:val="Normal"/>
    <w:link w:val="MStitleChar"/>
    <w:qFormat/>
    <w:rsid w:val="0091791F"/>
    <w:pPr>
      <w:spacing w:before="360" w:line="440" w:lineRule="exact"/>
      <w:contextualSpacing/>
    </w:pPr>
    <w:rPr>
      <w:b/>
      <w:sz w:val="34"/>
    </w:rPr>
  </w:style>
  <w:style w:type="paragraph" w:styleId="ListParagraph">
    <w:name w:val="List Paragraph"/>
    <w:basedOn w:val="Normal"/>
    <w:uiPriority w:val="34"/>
    <w:rsid w:val="00B4015F"/>
    <w:pPr>
      <w:ind w:left="720"/>
      <w:contextualSpacing/>
    </w:pPr>
  </w:style>
  <w:style w:type="character" w:customStyle="1" w:styleId="MStitleChar">
    <w:name w:val="MS title Char"/>
    <w:basedOn w:val="DefaultParagraphFont"/>
    <w:link w:val="MStitle"/>
    <w:rsid w:val="0091791F"/>
    <w:rPr>
      <w:rFonts w:ascii="Times New Roman" w:eastAsia="Times New Roman" w:hAnsi="Times New Roman"/>
      <w:b/>
      <w:sz w:val="34"/>
      <w:szCs w:val="24"/>
      <w:lang w:eastAsia="de-DE"/>
    </w:rPr>
  </w:style>
  <w:style w:type="paragraph" w:customStyle="1" w:styleId="Affiliation">
    <w:name w:val="Affiliation"/>
    <w:basedOn w:val="Normal"/>
    <w:link w:val="AffiliationChar"/>
    <w:qFormat/>
    <w:rsid w:val="00450DB9"/>
    <w:pPr>
      <w:spacing w:before="120" w:line="240" w:lineRule="auto"/>
      <w:contextualSpacing/>
    </w:pPr>
  </w:style>
  <w:style w:type="character" w:styleId="PlaceholderText">
    <w:name w:val="Placeholder Text"/>
    <w:basedOn w:val="DefaultParagraphFont"/>
    <w:uiPriority w:val="99"/>
    <w:semiHidden/>
    <w:rsid w:val="003D5288"/>
    <w:rPr>
      <w:color w:val="808080"/>
    </w:rPr>
  </w:style>
  <w:style w:type="character" w:customStyle="1" w:styleId="AffiliationChar">
    <w:name w:val="Affiliation Char"/>
    <w:basedOn w:val="DefaultParagraphFont"/>
    <w:link w:val="Affiliation"/>
    <w:rsid w:val="00450DB9"/>
    <w:rPr>
      <w:rFonts w:ascii="Times New Roman" w:eastAsia="Times New Roman" w:hAnsi="Times New Roman"/>
      <w:szCs w:val="24"/>
      <w:lang w:eastAsia="de-DE"/>
    </w:rPr>
  </w:style>
  <w:style w:type="paragraph" w:styleId="BalloonText">
    <w:name w:val="Balloon Text"/>
    <w:basedOn w:val="Normal"/>
    <w:link w:val="BalloonTextChar"/>
    <w:uiPriority w:val="99"/>
    <w:semiHidden/>
    <w:unhideWhenUsed/>
    <w:rsid w:val="003D528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5288"/>
    <w:rPr>
      <w:rFonts w:ascii="Tahoma" w:eastAsia="Times New Roman" w:hAnsi="Tahoma" w:cs="Tahoma"/>
      <w:sz w:val="16"/>
      <w:szCs w:val="16"/>
      <w:lang w:eastAsia="de-DE"/>
    </w:rPr>
  </w:style>
  <w:style w:type="paragraph" w:customStyle="1" w:styleId="Equation">
    <w:name w:val="Equation"/>
    <w:basedOn w:val="Normal"/>
    <w:link w:val="EquationChar"/>
    <w:rsid w:val="00C35812"/>
    <w:pPr>
      <w:spacing w:before="120" w:after="120"/>
    </w:pPr>
    <w:rPr>
      <w:rFonts w:ascii="Cambria Math" w:hAnsi="Cambria Math"/>
    </w:rPr>
  </w:style>
  <w:style w:type="paragraph" w:styleId="Caption">
    <w:name w:val="caption"/>
    <w:basedOn w:val="Normal"/>
    <w:next w:val="Normal"/>
    <w:uiPriority w:val="35"/>
    <w:unhideWhenUsed/>
    <w:qFormat/>
    <w:rsid w:val="003A4FB4"/>
    <w:pPr>
      <w:spacing w:after="200" w:line="240" w:lineRule="auto"/>
    </w:pPr>
    <w:rPr>
      <w:b/>
      <w:bCs/>
      <w:sz w:val="18"/>
      <w:szCs w:val="18"/>
    </w:rPr>
  </w:style>
  <w:style w:type="character" w:customStyle="1" w:styleId="EquationChar">
    <w:name w:val="Equation Char"/>
    <w:basedOn w:val="DefaultParagraphFont"/>
    <w:link w:val="Equation"/>
    <w:rsid w:val="00C35812"/>
    <w:rPr>
      <w:rFonts w:ascii="Cambria Math" w:eastAsia="Times New Roman" w:hAnsi="Cambria Math"/>
      <w:szCs w:val="24"/>
      <w:lang w:eastAsia="de-DE"/>
    </w:rPr>
  </w:style>
  <w:style w:type="paragraph" w:styleId="Footer">
    <w:name w:val="footer"/>
    <w:basedOn w:val="Normal"/>
    <w:link w:val="FooterChar"/>
    <w:uiPriority w:val="99"/>
    <w:unhideWhenUsed/>
    <w:rsid w:val="006D0C96"/>
    <w:pPr>
      <w:tabs>
        <w:tab w:val="center" w:pos="4513"/>
        <w:tab w:val="right" w:pos="9026"/>
      </w:tabs>
      <w:spacing w:line="240" w:lineRule="auto"/>
    </w:pPr>
  </w:style>
  <w:style w:type="character" w:customStyle="1" w:styleId="FooterChar">
    <w:name w:val="Footer Char"/>
    <w:basedOn w:val="DefaultParagraphFont"/>
    <w:link w:val="Footer"/>
    <w:uiPriority w:val="99"/>
    <w:rsid w:val="006D0C96"/>
    <w:rPr>
      <w:rFonts w:ascii="Times New Roman" w:eastAsia="Times New Roman" w:hAnsi="Times New Roman"/>
      <w:szCs w:val="24"/>
      <w:lang w:eastAsia="de-DE"/>
    </w:rPr>
  </w:style>
  <w:style w:type="paragraph" w:customStyle="1" w:styleId="Correspondence">
    <w:name w:val="Correspondence"/>
    <w:basedOn w:val="Normal"/>
    <w:link w:val="CorrespondenceChar"/>
    <w:qFormat/>
    <w:rsid w:val="008E213F"/>
    <w:pPr>
      <w:spacing w:before="120" w:after="360" w:line="240" w:lineRule="auto"/>
    </w:pPr>
  </w:style>
  <w:style w:type="character" w:customStyle="1" w:styleId="CorrespondenceChar">
    <w:name w:val="Correspondence Char"/>
    <w:basedOn w:val="DefaultParagraphFont"/>
    <w:link w:val="Correspondence"/>
    <w:rsid w:val="008E213F"/>
    <w:rPr>
      <w:rFonts w:ascii="Times New Roman" w:eastAsia="Times New Roman" w:hAnsi="Times New Roman"/>
      <w:szCs w:val="24"/>
      <w:lang w:eastAsia="de-DE"/>
    </w:rPr>
  </w:style>
  <w:style w:type="paragraph" w:customStyle="1" w:styleId="Authors">
    <w:name w:val="Authors"/>
    <w:basedOn w:val="Normal"/>
    <w:link w:val="AuthorsChar"/>
    <w:qFormat/>
    <w:rsid w:val="00BD0523"/>
    <w:pPr>
      <w:spacing w:before="180" w:line="240" w:lineRule="auto"/>
      <w:contextualSpacing/>
    </w:pPr>
    <w:rPr>
      <w:sz w:val="24"/>
    </w:rPr>
  </w:style>
  <w:style w:type="character" w:customStyle="1" w:styleId="AuthorsChar">
    <w:name w:val="Authors Char"/>
    <w:basedOn w:val="DefaultParagraphFont"/>
    <w:link w:val="Authors"/>
    <w:rsid w:val="00BD0523"/>
    <w:rPr>
      <w:rFonts w:ascii="Times New Roman" w:eastAsia="Times New Roman" w:hAnsi="Times New Roman"/>
      <w:sz w:val="24"/>
      <w:szCs w:val="24"/>
      <w:lang w:eastAsia="de-DE"/>
    </w:rPr>
  </w:style>
  <w:style w:type="character" w:styleId="UnresolvedMention">
    <w:name w:val="Unresolved Mention"/>
    <w:basedOn w:val="DefaultParagraphFont"/>
    <w:uiPriority w:val="99"/>
    <w:semiHidden/>
    <w:unhideWhenUsed/>
    <w:rsid w:val="000E5B54"/>
    <w:rPr>
      <w:color w:val="605E5C"/>
      <w:shd w:val="clear" w:color="auto" w:fill="E1DFDD"/>
    </w:rPr>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000000"/>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color w:val="0000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color w:val="000000"/>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C4A000"/>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paragraph" w:styleId="Bibliography">
    <w:name w:val="Bibliography"/>
    <w:basedOn w:val="Normal"/>
    <w:next w:val="Normal"/>
    <w:uiPriority w:val="37"/>
    <w:unhideWhenUsed/>
    <w:rsid w:val="00364986"/>
    <w:pPr>
      <w:spacing w:line="240" w:lineRule="auto"/>
      <w:ind w:left="720" w:hanging="720"/>
    </w:pPr>
  </w:style>
  <w:style w:type="character" w:styleId="FollowedHyperlink">
    <w:name w:val="FollowedHyperlink"/>
    <w:basedOn w:val="DefaultParagraphFont"/>
    <w:uiPriority w:val="99"/>
    <w:semiHidden/>
    <w:unhideWhenUsed/>
    <w:rsid w:val="0036498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s://www.project-marvic.eu/" TargetMode="External"/><Relationship Id="rId3" Type="http://schemas.openxmlformats.org/officeDocument/2006/relationships/settings" Target="settings.xml"/><Relationship Id="rId21" Type="http://schemas.openxmlformats.org/officeDocument/2006/relationships/hyperlink" Target="https://scraping-soil-monitoring-dzgswmvktuuc6ee2habdjo.streamlit.app/" TargetMode="External"/><Relationship Id="rId34" Type="http://schemas.openxmlformats.org/officeDocument/2006/relationships/theme" Target="theme/theme1.xml"/><Relationship Id="rId7" Type="http://schemas.openxmlformats.org/officeDocument/2006/relationships/hyperlink" Target="https://www.offsetguide.org/understanding-carbon-offsets/what-is-a-carbon-offset/" TargetMode="External"/><Relationship Id="rId12" Type="http://schemas.openxmlformats.org/officeDocument/2006/relationships/hyperlink" Target="https://elicit.com/" TargetMode="External"/><Relationship Id="rId17" Type="http://schemas.openxmlformats.org/officeDocument/2006/relationships/image" Target="media/image5.png"/><Relationship Id="rId25" Type="http://schemas.openxmlformats.org/officeDocument/2006/relationships/hyperlink" Target="https://www.perplexity.ai/"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erplexity.ai/" TargetMode="External"/><Relationship Id="rId24" Type="http://schemas.openxmlformats.org/officeDocument/2006/relationships/hyperlink" Target="https://www.offsetguide.org/understanding-carbon-offsets/what-is-a-carbon-offset/"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elicit.com/" TargetMode="External"/><Relationship Id="rId28" Type="http://schemas.openxmlformats.org/officeDocument/2006/relationships/hyperlink" Target="https://soilhealthbenchmarks.eu/," TargetMode="External"/><Relationship Id="rId10" Type="http://schemas.openxmlformats.org/officeDocument/2006/relationships/hyperlink" Target="https://www.selenium.dev/documentation/webdriver/" TargetMode="External"/><Relationship Id="rId19" Type="http://schemas.openxmlformats.org/officeDocument/2006/relationships/image" Target="media/image7.png"/><Relationship Id="rId31"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www.project-marvic.eu/" TargetMode="External"/><Relationship Id="rId14" Type="http://schemas.openxmlformats.org/officeDocument/2006/relationships/image" Target="media/image2.png"/><Relationship Id="rId22" Type="http://schemas.openxmlformats.org/officeDocument/2006/relationships/hyperlink" Target="https://environment.ec.europa.eu/topics/nature-and-biodiversity/nature-restoration-regulation_en" TargetMode="External"/><Relationship Id="rId27" Type="http://schemas.openxmlformats.org/officeDocument/2006/relationships/hyperlink" Target="https://www.selenium.dev/documentation/webdriver/" TargetMode="External"/><Relationship Id="rId30" Type="http://schemas.openxmlformats.org/officeDocument/2006/relationships/image" Target="media/image10.png"/><Relationship Id="rId8" Type="http://schemas.openxmlformats.org/officeDocument/2006/relationships/hyperlink" Target="https://soilhealthbenchmarks.e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pernicus_Word_template">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25</Pages>
  <Words>16376</Words>
  <Characters>93347</Characters>
  <Application>Microsoft Office Word</Application>
  <DocSecurity>0</DocSecurity>
  <Lines>777</Lines>
  <Paragraphs>219</Paragraphs>
  <ScaleCrop>false</ScaleCrop>
  <HeadingPairs>
    <vt:vector size="2" baseType="variant">
      <vt:variant>
        <vt:lpstr>Title</vt:lpstr>
      </vt:variant>
      <vt:variant>
        <vt:i4>1</vt:i4>
      </vt:variant>
    </vt:vector>
  </HeadingPairs>
  <TitlesOfParts>
    <vt:vector size="1" baseType="lpstr">
      <vt:lpstr/>
    </vt:vector>
  </TitlesOfParts>
  <Company>Copernicus Gesellschaft mbH</Company>
  <LinksUpToDate>false</LinksUpToDate>
  <CharactersWithSpaces>109504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Camille Imbert</dc:creator>
  <cp:keywords/>
  <cp:lastModifiedBy>Camille Imbert</cp:lastModifiedBy>
  <cp:revision>4</cp:revision>
  <dcterms:created xsi:type="dcterms:W3CDTF">2026-09-02T12:04:00Z</dcterms:created>
  <dcterms:modified xsi:type="dcterms:W3CDTF">2026-09-03T11:31:00Z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references.bib</vt:lpwstr>
  </property>
  <property fmtid="{D5CDD505-2E9C-101B-9397-08002B2CF9AE}" pid="4" name="date">
    <vt:lpwstr/>
  </property>
  <property fmtid="{D5CDD505-2E9C-101B-9397-08002B2CF9AE}" pid="5" name="editor_options">
    <vt:lpwstr/>
  </property>
  <property fmtid="{D5CDD505-2E9C-101B-9397-08002B2CF9AE}" pid="6" name="output">
    <vt:lpwstr/>
  </property>
  <property fmtid="{D5CDD505-2E9C-101B-9397-08002B2CF9AE}" pid="7" name="ZOTERO_PREF_1">
    <vt:lpwstr>&lt;data data-version="3" zotero-version="6.0.26"&gt;&lt;session id="0UJVFUKr"/&gt;&lt;style id="http://www.zotero.org/styles/elsevier-harvard" hasBibliography="1" bibliographyStyleHasBeenSet="1"/&gt;&lt;prefs&gt;&lt;pref name="fieldType" value="Field"/&gt;&lt;/prefs&gt;&lt;/data&gt;</vt:lpwstr>
  </property>
</Properties>
</file>