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/>
        <w:jc w:val="center"/>
      </w:pPr>
      <w:r>
        <w:rPr>
          <w:rFonts w:ascii="Calibri" w:hAnsi="Calibri" w:eastAsia="微软雅黑"/>
          <w:b/>
          <w:color w:val="1F4D78"/>
          <w:sz w:val="56"/>
        </w:rPr>
        <w:t>技术架构与选型建议</w:t>
      </w:r>
    </w:p>
    <w:p>
      <w:pPr>
        <w:spacing w:before="0" w:after="560"/>
        <w:jc w:val="center"/>
      </w:pPr>
      <w:r>
        <w:rPr>
          <w:rFonts w:ascii="Calibri" w:hAnsi="Calibri" w:eastAsia="微软雅黑"/>
          <w:b/>
          <w:color w:val="2E74B5"/>
          <w:sz w:val="26"/>
        </w:rPr>
        <w:t>Machining ERP · 定制化制造业数字化管理系统</w:t>
      </w:r>
    </w:p>
    <w:p>
      <w:pPr>
        <w:spacing w:before="0" w:after="120"/>
        <w:jc w:val="center"/>
      </w:pPr>
      <w:r>
        <w:rPr>
          <w:rFonts w:ascii="Calibri" w:hAnsi="Calibri" w:eastAsia="微软雅黑"/>
          <w:b w:val="0"/>
          <w:color w:val="667085"/>
          <w:sz w:val="21"/>
        </w:rPr>
        <w:t>适用规模：约 400 名员工 · 300 台设备 · 商业产品化前提（可对外销售、分工团队）</w:t>
      </w:r>
    </w:p>
    <w:p>
      <w:pPr>
        <w:spacing w:before="0" w:after="160"/>
        <w:jc w:val="center"/>
      </w:pPr>
      <w:r>
        <w:rPr>
          <w:rFonts w:ascii="Calibri" w:hAnsi="Calibri" w:eastAsia="微软雅黑"/>
          <w:b w:val="0"/>
          <w:color w:val="667085"/>
          <w:sz w:val="21"/>
        </w:rPr>
        <w:t>含：分层编程语言选型 · 数据库与中间件 · 团队与接口 · 财务与老板 AI 问答（DeepSeek）方案</w:t>
      </w:r>
    </w:p>
    <w:p/>
    <w:p/>
    <w:p/>
    <w:p/>
    <w:p/>
    <w:p/>
    <w:p/>
    <w:p/>
    <w:p>
      <w:pPr>
        <w:spacing w:before="0" w:after="40"/>
        <w:jc w:val="center"/>
      </w:pPr>
      <w:r>
        <w:rPr>
          <w:rFonts w:ascii="Calibri" w:hAnsi="Calibri" w:eastAsia="微软雅黑"/>
          <w:b w:val="0"/>
          <w:color w:val="203748"/>
          <w:sz w:val="22"/>
        </w:rPr>
        <w:t>版本：V1.0</w:t>
      </w:r>
    </w:p>
    <w:p>
      <w:pPr>
        <w:spacing w:before="0" w:after="40"/>
        <w:jc w:val="center"/>
      </w:pPr>
      <w:r>
        <w:rPr>
          <w:rFonts w:ascii="Calibri" w:hAnsi="Calibri" w:eastAsia="微软雅黑"/>
          <w:b w:val="0"/>
          <w:color w:val="203748"/>
          <w:sz w:val="22"/>
        </w:rPr>
        <w:t>日期：2026年7月11日</w:t>
      </w:r>
    </w:p>
    <w:p>
      <w:pPr>
        <w:spacing w:before="0" w:after="40"/>
        <w:jc w:val="center"/>
      </w:pPr>
      <w:r>
        <w:rPr>
          <w:rFonts w:ascii="Calibri" w:hAnsi="Calibri" w:eastAsia="微软雅黑"/>
          <w:b w:val="0"/>
          <w:color w:val="203748"/>
          <w:sz w:val="22"/>
        </w:rPr>
        <w:t>对应基线：《制造业ERP软件规划方案 V1.2》—— 补充“开发语言/数据库/云平台”一节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Calibri" w:hAnsi="Calibri" w:eastAsia="微软雅黑"/>
          <w:b/>
          <w:color w:val="1F4D78"/>
          <w:sz w:val="32"/>
        </w:rPr>
        <w:t>一、文档说明与范围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本文件在《制造业ERP软件规划方案 V1.2》基础上，补充其明确“尚未确定具体开发语言、数据库、云平台”的一节，给出一套面向本项目的技术架构与编程语言选型建议。范围前提为：作为可对外销售的商业级制造业 ERP 产品来建设，由一支有分工的研发团队实施；同时兼顾本公司自身的落地规模（约 400 名员工、300 台设备）。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667085"/>
          <w:sz w:val="19"/>
        </w:rPr>
        <w:t>本建议是工程判断，非唯一答案。最终选型应结合团队现有技能、招聘可行性、交付周期与总拥有成本（TCO）综合确定；语言与框架的具体版本以立项时的官方 LTS 为准。</w:t>
      </w:r>
    </w:p>
    <w:p>
      <w:pPr>
        <w:pStyle w:val="Heading1"/>
        <w:spacing w:before="240" w:after="100"/>
      </w:pPr>
      <w:r>
        <w:rPr>
          <w:rFonts w:ascii="Calibri" w:hAnsi="Calibri" w:eastAsia="微软雅黑"/>
          <w:b/>
          <w:color w:val="1F4D78"/>
          <w:sz w:val="32"/>
        </w:rPr>
        <w:t>二、总体架构原则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模块化单体起步，按需拆服务</w:t>
      </w:r>
      <w:r>
        <w:rPr>
          <w:rFonts w:ascii="Calibri" w:hAnsi="Calibri" w:eastAsia="微软雅黑"/>
          <w:b w:val="0"/>
          <w:sz w:val="21"/>
        </w:rPr>
        <w:t>：以本公司 400 人/300 设备的规模，核心应先做“模块化单体（modular monolith）”——一个后端应用内按进销存/财务/品质/生产清晰分包、共享一个事务边界；只有 MES 实时、设备接入、AI 分析这类天然独立的部分才先行拆为独立服务。避免过早微服务化，防止跨模块的财务勾稽与批次追溯退化成分布式事务。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两门主力 + 三门特种兵</w:t>
      </w:r>
      <w:r>
        <w:rPr>
          <w:rFonts w:ascii="Calibri" w:hAnsi="Calibri" w:eastAsia="微软雅黑"/>
          <w:b w:val="0"/>
          <w:sz w:val="21"/>
        </w:rPr>
        <w:t>：Java 与 TypeScript 覆盖 70–80% 的模块与工程师；Python、Go、C++/C# 只在被特定场景逼出来的地方使用，每种都锁在一个明确的服务边界内，不满地铺开。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契约优先（Contract-First）</w:t>
      </w:r>
      <w:r>
        <w:rPr>
          <w:rFonts w:ascii="Calibri" w:hAnsi="Calibri" w:eastAsia="微软雅黑"/>
          <w:b w:val="0"/>
          <w:sz w:val="21"/>
        </w:rPr>
        <w:t>：服务之间用 OpenAPI（REST）或 gRPC + Protobuf 定义接口，语言异构由契约屏蔽；一个工程师日常只在自己组的一门语言里工作。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账本单一可信</w:t>
      </w:r>
      <w:r>
        <w:rPr>
          <w:rFonts w:ascii="Calibri" w:hAnsi="Calibri" w:eastAsia="微软雅黑"/>
          <w:b w:val="0"/>
          <w:sz w:val="21"/>
        </w:rPr>
        <w:t>：财务、库存、成本等“真金白银”的写操作只允许在核心领域后端发生，其它语言的服务对这些数据只读或提交草稿走审批（与 V1.2 “AI 默认只读”一致）。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产品化要求隔离多租户与配置</w:t>
      </w:r>
      <w:r>
        <w:rPr>
          <w:rFonts w:ascii="Calibri" w:hAnsi="Calibri" w:eastAsia="微软雅黑"/>
          <w:b w:val="0"/>
          <w:sz w:val="21"/>
        </w:rPr>
        <w:t>：作为对外销售的产品，从第一天就要把租户隔离、参数化配置、权限模型、审计作为一等公民，而不是后补。</w:t>
      </w:r>
    </w:p>
    <w:p>
      <w:pPr>
        <w:pStyle w:val="Heading1"/>
        <w:spacing w:before="240" w:after="100"/>
      </w:pPr>
      <w:r>
        <w:rPr>
          <w:rFonts w:ascii="Calibri" w:hAnsi="Calibri" w:eastAsia="微软雅黑"/>
          <w:b/>
          <w:color w:val="1F4D78"/>
          <w:sz w:val="32"/>
        </w:rPr>
        <w:t>三、分层编程语言选型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下表按架构层给出推荐语言、备选与理由。这是本建议的核心。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4B5"/>
            <w:tcW w:w="23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层 / 组件</w:t>
            </w:r>
          </w:p>
        </w:tc>
        <w:tc>
          <w:tcPr>
            <w:tcW w:type="dxa" w:w="2412"/>
            <w:shd w:val="clear" w:color="auto" w:fill="2E74B5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推荐语言</w:t>
            </w:r>
          </w:p>
        </w:tc>
        <w:tc>
          <w:tcPr>
            <w:tcW w:type="dxa" w:w="2412"/>
            <w:shd w:val="clear" w:color="auto" w:fill="2E74B5"/>
            <w:tcW w:w="13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备选</w:t>
            </w:r>
          </w:p>
        </w:tc>
        <w:tc>
          <w:tcPr>
            <w:tcW w:type="dxa" w:w="2412"/>
            <w:shd w:val="clear" w:color="auto" w:fill="2E74B5"/>
            <w:tcW w:w="38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2412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核心领域后端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（财务/总账/成本/供应链/订单/库存/MRP）</w:t>
            </w:r>
          </w:p>
        </w:tc>
        <w:tc>
          <w:tcPr>
            <w:tcW w:type="dxa" w:w="2412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Java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(Spring Boot)/Kotlin</w:t>
            </w:r>
          </w:p>
        </w:tc>
        <w:tc>
          <w:tcPr>
            <w:tcW w:type="dxa" w:w="2412"/>
            <w:tcW w:w="13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C#/.NET</w:t>
            </w:r>
          </w:p>
        </w:tc>
        <w:tc>
          <w:tcPr>
            <w:tcW w:type="dxa" w:w="2412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系统账本；重事务一致性与复杂领域建模，生态最全、ERP 人才池最大</w:t>
            </w:r>
          </w:p>
        </w:tc>
      </w:tr>
      <w:tr>
        <w:tc>
          <w:tcPr>
            <w:tcW w:type="dxa" w:w="2412"/>
            <w:shd w:val="clear" w:color="auto" w:fill="EEF3F9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平台/低代码引擎、元数据、工作流、权限</w:t>
            </w:r>
          </w:p>
        </w:tc>
        <w:tc>
          <w:tcPr>
            <w:tcW w:type="dxa" w:w="2412"/>
            <w:shd w:val="clear" w:color="auto" w:fill="EEF3F9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Java</w:t>
            </w:r>
          </w:p>
        </w:tc>
        <w:tc>
          <w:tcPr>
            <w:tcW w:type="dxa" w:w="2412"/>
            <w:shd w:val="clear" w:color="auto" w:fill="EEF3F9"/>
            <w:tcW w:w="13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Kotlin</w:t>
            </w:r>
          </w:p>
        </w:tc>
        <w:tc>
          <w:tcPr>
            <w:tcW w:type="dxa" w:w="2412"/>
            <w:shd w:val="clear" w:color="auto" w:fill="EEF3F9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平台层需长期稳定、可扩展、可二开，Java 框架生态最合适</w:t>
            </w:r>
          </w:p>
        </w:tc>
      </w:tr>
      <w:tr>
        <w:tc>
          <w:tcPr>
            <w:tcW w:type="dxa" w:w="2412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API 网关 / BFF 聚合层</w:t>
            </w:r>
          </w:p>
        </w:tc>
        <w:tc>
          <w:tcPr>
            <w:tcW w:type="dxa" w:w="2412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TypeScript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(NestJS)</w:t>
            </w:r>
          </w:p>
        </w:tc>
        <w:tc>
          <w:tcPr>
            <w:tcW w:type="dxa" w:w="2412"/>
            <w:tcW w:w="13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Java</w:t>
            </w:r>
          </w:p>
        </w:tc>
        <w:tc>
          <w:tcPr>
            <w:tcW w:type="dxa" w:w="2412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贴着前端聚合数据，与前端同语言省协作成本</w:t>
            </w:r>
          </w:p>
        </w:tc>
      </w:tr>
      <w:tr>
        <w:tc>
          <w:tcPr>
            <w:tcW w:type="dxa" w:w="2412"/>
            <w:shd w:val="clear" w:color="auto" w:fill="EEF3F9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Web 操作端 / 配置端</w:t>
            </w:r>
          </w:p>
        </w:tc>
        <w:tc>
          <w:tcPr>
            <w:tcW w:type="dxa" w:w="2412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TypeScript + Vue</w:t>
            </w:r>
          </w:p>
        </w:tc>
        <w:tc>
          <w:tcPr>
            <w:tcW w:type="dxa" w:w="2412"/>
            <w:shd w:val="clear" w:color="auto" w:fill="EEF3F9"/>
            <w:tcW w:w="13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React</w:t>
            </w:r>
          </w:p>
        </w:tc>
        <w:tc>
          <w:tcPr>
            <w:tcW w:type="dxa" w:w="2412"/>
            <w:shd w:val="clear" w:color="auto" w:fill="EEF3F9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国内 ERP 主流 Vue，招人与组件生态顺；React 亦可</w:t>
            </w:r>
          </w:p>
        </w:tc>
      </w:tr>
      <w:tr>
        <w:tc>
          <w:tcPr>
            <w:tcW w:type="dxa" w:w="2412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客户/供应商门户、移动端、小程序</w:t>
            </w:r>
          </w:p>
        </w:tc>
        <w:tc>
          <w:tcPr>
            <w:tcW w:type="dxa" w:w="2412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TypeScript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(Next.js/uni-app/Taro)</w:t>
            </w:r>
          </w:p>
        </w:tc>
        <w:tc>
          <w:tcPr>
            <w:tcW w:type="dxa" w:w="2412"/>
            <w:tcW w:w="13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Flutter</w:t>
            </w:r>
          </w:p>
        </w:tc>
        <w:tc>
          <w:tcPr>
            <w:tcW w:type="dxa" w:w="2412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门户与小程序 TS 通吃；跨端 App 可选 Flutter</w:t>
            </w:r>
          </w:p>
        </w:tc>
      </w:tr>
      <w:tr>
        <w:tc>
          <w:tcPr>
            <w:tcW w:type="dxa" w:w="2412"/>
            <w:shd w:val="clear" w:color="auto" w:fill="EEF3F9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MES 车间实时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（扫码报工/看板/Andon/WebSocket）</w:t>
            </w:r>
          </w:p>
        </w:tc>
        <w:tc>
          <w:tcPr>
            <w:tcW w:type="dxa" w:w="2412"/>
            <w:shd w:val="clear" w:color="auto" w:fill="EEF3F9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Go</w:t>
            </w:r>
          </w:p>
        </w:tc>
        <w:tc>
          <w:tcPr>
            <w:tcW w:type="dxa" w:w="2412"/>
            <w:shd w:val="clear" w:color="auto" w:fill="EEF3F9"/>
            <w:tcW w:w="13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Java</w:t>
            </w:r>
          </w:p>
        </w:tc>
        <w:tc>
          <w:tcPr>
            <w:tcW w:type="dxa" w:w="2412"/>
            <w:shd w:val="clear" w:color="auto" w:fill="EEF3F9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高并发低延迟、连接多；Go 部署轻、省资源</w:t>
            </w:r>
          </w:p>
        </w:tc>
      </w:tr>
      <w:tr>
        <w:tc>
          <w:tcPr>
            <w:tcW w:type="dxa" w:w="2412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设备接入 / IoT 边缘网关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（300 台，OPC-UA/Modbus/MQTT）</w:t>
            </w:r>
          </w:p>
        </w:tc>
        <w:tc>
          <w:tcPr>
            <w:tcW w:type="dxa" w:w="2412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Go 或 C#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驱动层偶尔 C/C++</w:t>
            </w:r>
          </w:p>
        </w:tc>
        <w:tc>
          <w:tcPr>
            <w:tcW w:type="dxa" w:w="2412"/>
            <w:tcW w:w="13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Rust</w:t>
            </w:r>
          </w:p>
        </w:tc>
        <w:tc>
          <w:tcPr>
            <w:tcW w:type="dxa" w:w="2412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工业协议、实时、贴硬件；C# 的 OPC-UA 栈成熟</w:t>
            </w:r>
          </w:p>
        </w:tc>
      </w:tr>
      <w:tr>
        <w:tc>
          <w:tcPr>
            <w:tcW w:type="dxa" w:w="2412"/>
            <w:shd w:val="clear" w:color="auto" w:fill="EEF3F9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APS 有限产能排程 / 优化求解</w:t>
            </w:r>
          </w:p>
        </w:tc>
        <w:tc>
          <w:tcPr>
            <w:tcW w:type="dxa" w:w="2412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C++ 内核 +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Java/Python 封装</w:t>
            </w:r>
          </w:p>
        </w:tc>
        <w:tc>
          <w:tcPr>
            <w:tcW w:type="dxa" w:w="2412"/>
            <w:shd w:val="clear" w:color="auto" w:fill="EEF3F9"/>
            <w:tcW w:w="13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Java</w:t>
            </w:r>
          </w:p>
        </w:tc>
        <w:tc>
          <w:tcPr>
            <w:tcW w:type="dxa" w:w="2412"/>
            <w:shd w:val="clear" w:color="auto" w:fill="EEF3F9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重计算优化，主流求解器 OR-Tools 为 C++，上层封装调用</w:t>
            </w:r>
          </w:p>
        </w:tc>
      </w:tr>
      <w:tr>
        <w:tc>
          <w:tcPr>
            <w:tcW w:type="dxa" w:w="2412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BI / 报表引擎 / 数仓 ETL</w:t>
            </w:r>
          </w:p>
        </w:tc>
        <w:tc>
          <w:tcPr>
            <w:tcW w:type="dxa" w:w="2412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Python + SQL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大数据用 Spark</w:t>
            </w:r>
          </w:p>
        </w:tc>
        <w:tc>
          <w:tcPr>
            <w:tcW w:type="dxa" w:w="2412"/>
            <w:tcW w:w="13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Java</w:t>
            </w:r>
          </w:p>
        </w:tc>
        <w:tc>
          <w:tcPr>
            <w:tcW w:type="dxa" w:w="2412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数据清洗、指标计算、ETL 是 Python 主场</w:t>
            </w:r>
          </w:p>
        </w:tc>
      </w:tr>
      <w:tr>
        <w:tc>
          <w:tcPr>
            <w:tcW w:type="dxa" w:w="2412"/>
            <w:shd w:val="clear" w:color="auto" w:fill="EEF3F9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AI 智能问答 / 质量根因 / 预测</w:t>
            </w:r>
          </w:p>
        </w:tc>
        <w:tc>
          <w:tcPr>
            <w:tcW w:type="dxa" w:w="2412"/>
            <w:shd w:val="clear" w:color="auto" w:fill="EEF3F9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Python</w:t>
            </w:r>
          </w:p>
        </w:tc>
        <w:tc>
          <w:tcPr>
            <w:tcW w:type="dxa" w:w="2412"/>
            <w:shd w:val="clear" w:color="auto" w:fill="EEF3F9"/>
            <w:tcW w:w="13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  <w:tc>
          <w:tcPr>
            <w:tcW w:type="dxa" w:w="2412"/>
            <w:shd w:val="clear" w:color="auto" w:fill="EEF3F9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LLM 编排与机器学习生态只有 Python 能打（见第七章）</w:t>
            </w:r>
          </w:p>
        </w:tc>
      </w:tr>
      <w:tr>
        <w:tc>
          <w:tcPr>
            <w:tcW w:type="dxa" w:w="2412"/>
            <w:tcW w:w="23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基础设施 / DevOps / CLI / K8s Operator</w:t>
            </w:r>
          </w:p>
        </w:tc>
        <w:tc>
          <w:tcPr>
            <w:tcW w:type="dxa" w:w="2412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Go</w:t>
            </w:r>
          </w:p>
        </w:tc>
        <w:tc>
          <w:tcPr>
            <w:tcW w:type="dxa" w:w="2412"/>
            <w:tcW w:w="13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—</w:t>
            </w:r>
          </w:p>
        </w:tc>
        <w:tc>
          <w:tcPr>
            <w:tcW w:type="dxa" w:w="2412"/>
            <w:tcW w:w="38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云原生工具链母语</w:t>
            </w:r>
          </w:p>
        </w:tc>
      </w:tr>
    </w:tbl>
    <w:p>
      <w:pPr>
        <w:spacing w:after="40"/>
      </w:pPr>
    </w:p>
    <w:p>
      <w:pPr>
        <w:pStyle w:val="Heading2"/>
        <w:spacing w:before="180" w:after="60"/>
      </w:pPr>
      <w:r>
        <w:rPr>
          <w:rFonts w:ascii="Calibri" w:hAnsi="Calibri" w:eastAsia="微软雅黑"/>
          <w:b/>
          <w:color w:val="2E74B5"/>
          <w:sz w:val="26"/>
        </w:rPr>
        <w:t>3.1 主语言：Java 管账本，TypeScript 管界面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核心财务、供应链、成本必须在同一语言、同一事务边界内稳定运行，Java 是商业 ERP 里最保守也最正确的选择（用友 NC/U9、金蝶苍穹皆为 Java）。前端、门户与 BFF 全部 TypeScript，一门语言从浏览器贯到聚合层。这两门覆盖大部分模块与大部分工程师。</w:t>
      </w:r>
    </w:p>
    <w:p>
      <w:pPr>
        <w:pStyle w:val="Heading2"/>
        <w:spacing w:before="180" w:after="60"/>
      </w:pPr>
      <w:r>
        <w:rPr>
          <w:rFonts w:ascii="Calibri" w:hAnsi="Calibri" w:eastAsia="微软雅黑"/>
          <w:b/>
          <w:color w:val="2E74B5"/>
          <w:sz w:val="26"/>
        </w:rPr>
        <w:t>3.2 特种兵：Go / Python / C++ 各守一摊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Go</w:t>
      </w:r>
      <w:r>
        <w:rPr>
          <w:rFonts w:ascii="Calibri" w:hAnsi="Calibri" w:eastAsia="微软雅黑"/>
          <w:b w:val="0"/>
          <w:sz w:val="21"/>
        </w:rPr>
        <w:t xml:space="preserve"> 只出现在车间实时与设备/基础设施——高并发、轻量、贴网络硬件，正好是其舒适区，且不污染核心领域代码。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Python</w:t>
      </w:r>
      <w:r>
        <w:rPr>
          <w:rFonts w:ascii="Calibri" w:hAnsi="Calibri" w:eastAsia="微软雅黑"/>
          <w:b w:val="0"/>
          <w:sz w:val="21"/>
        </w:rPr>
        <w:t xml:space="preserve"> 只出现在“数据与智能”一端（BI/ETL 与 AI 问答），做成独立服务挂在核心旁，绝不写财务事务。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C++/C#</w:t>
      </w:r>
      <w:r>
        <w:rPr>
          <w:rFonts w:ascii="Calibri" w:hAnsi="Calibri" w:eastAsia="微软雅黑"/>
          <w:b w:val="0"/>
          <w:sz w:val="21"/>
        </w:rPr>
        <w:t xml:space="preserve"> 是被逼出来的，仅用于两个硬骨头：APS 求解器内核与工业设备协议驱动，这两处最需专才，不勉强并入主语言。</w:t>
      </w:r>
    </w:p>
    <w:p>
      <w:pPr>
        <w:pStyle w:val="Heading1"/>
        <w:spacing w:before="240" w:after="100"/>
      </w:pPr>
      <w:r>
        <w:rPr>
          <w:rFonts w:ascii="Calibri" w:hAnsi="Calibri" w:eastAsia="微软雅黑"/>
          <w:b/>
          <w:color w:val="1F4D78"/>
          <w:sz w:val="32"/>
        </w:rPr>
        <w:t>四、数据库、中间件与基础设施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4B5"/>
            <w:tcW w:w="21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216"/>
            <w:shd w:val="clear" w:color="auto" w:fill="2E74B5"/>
            <w:tcW w:w="27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选型</w:t>
            </w:r>
          </w:p>
        </w:tc>
        <w:tc>
          <w:tcPr>
            <w:tcW w:type="dxa" w:w="3216"/>
            <w:shd w:val="clear" w:color="auto" w:fill="2E74B5"/>
            <w:tcW w:w="45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6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联机交易 OLTP（主库）</w:t>
            </w:r>
          </w:p>
        </w:tc>
        <w:tc>
          <w:tcPr>
            <w:tcW w:type="dxa" w:w="3216"/>
            <w:tcW w:w="2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PostgreSQL</w:t>
            </w:r>
          </w:p>
        </w:tc>
        <w:tc>
          <w:tcPr>
            <w:tcW w:type="dxa" w:w="3216"/>
            <w:tcW w:w="4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财务/供应链/库存主库；强事务、开源免许可，可满足本规模</w:t>
            </w:r>
          </w:p>
        </w:tc>
      </w:tr>
      <w:tr>
        <w:tc>
          <w:tcPr>
            <w:tcW w:type="dxa" w:w="3216"/>
            <w:shd w:val="clear" w:color="auto" w:fill="EEF3F9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联机分析 OLAP / 报表</w:t>
            </w:r>
          </w:p>
        </w:tc>
        <w:tc>
          <w:tcPr>
            <w:tcW w:type="dxa" w:w="3216"/>
            <w:shd w:val="clear" w:color="auto" w:fill="EEF3F9"/>
            <w:tcW w:w="2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ClickHouse 或 Apache Doris</w:t>
            </w:r>
          </w:p>
        </w:tc>
        <w:tc>
          <w:tcPr>
            <w:tcW w:type="dxa" w:w="3216"/>
            <w:shd w:val="clear" w:color="auto" w:fill="EEF3F9"/>
            <w:tcW w:w="4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驾驶舱、明细分析、大表聚合，与主库分离避免拖慢交易</w:t>
            </w:r>
          </w:p>
        </w:tc>
      </w:tr>
      <w:tr>
        <w:tc>
          <w:tcPr>
            <w:tcW w:type="dxa" w:w="3216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缓存 / 分布式锁</w:t>
            </w:r>
          </w:p>
        </w:tc>
        <w:tc>
          <w:tcPr>
            <w:tcW w:type="dxa" w:w="3216"/>
            <w:tcW w:w="27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Redis</w:t>
            </w:r>
          </w:p>
        </w:tc>
        <w:tc>
          <w:tcPr>
            <w:tcW w:type="dxa" w:w="3216"/>
            <w:tcW w:w="4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会话、热点数据、库存扣减辅助</w:t>
            </w:r>
          </w:p>
        </w:tc>
      </w:tr>
      <w:tr>
        <w:tc>
          <w:tcPr>
            <w:tcW w:type="dxa" w:w="3216"/>
            <w:shd w:val="clear" w:color="auto" w:fill="EEF3F9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消息 / 事件总线</w:t>
            </w:r>
          </w:p>
        </w:tc>
        <w:tc>
          <w:tcPr>
            <w:tcW w:type="dxa" w:w="3216"/>
            <w:shd w:val="clear" w:color="auto" w:fill="EEF3F9"/>
            <w:tcW w:w="2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Kafka（或 RabbitMQ）</w:t>
            </w:r>
          </w:p>
        </w:tc>
        <w:tc>
          <w:tcPr>
            <w:tcW w:type="dxa" w:w="3216"/>
            <w:shd w:val="clear" w:color="auto" w:fill="EEF3F9"/>
            <w:tcW w:w="4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业务事件、MES 实时流、异步解耦与审计</w:t>
            </w:r>
          </w:p>
        </w:tc>
      </w:tr>
      <w:tr>
        <w:tc>
          <w:tcPr>
            <w:tcW w:type="dxa" w:w="3216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搜索 / 日志</w:t>
            </w:r>
          </w:p>
        </w:tc>
        <w:tc>
          <w:tcPr>
            <w:tcW w:type="dxa" w:w="3216"/>
            <w:tcW w:w="2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Elasticsearch / OpenSearch</w:t>
            </w:r>
          </w:p>
        </w:tc>
        <w:tc>
          <w:tcPr>
            <w:tcW w:type="dxa" w:w="3216"/>
            <w:tcW w:w="4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单据检索、全文、日志与审计查询</w:t>
            </w:r>
          </w:p>
        </w:tc>
      </w:tr>
      <w:tr>
        <w:tc>
          <w:tcPr>
            <w:tcW w:type="dxa" w:w="3216"/>
            <w:shd w:val="clear" w:color="auto" w:fill="EEF3F9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设备时序数据</w:t>
            </w:r>
          </w:p>
        </w:tc>
        <w:tc>
          <w:tcPr>
            <w:tcW w:type="dxa" w:w="3216"/>
            <w:shd w:val="clear" w:color="auto" w:fill="EEF3F9"/>
            <w:tcW w:w="2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TimescaleDB 或 InfluxDB</w:t>
            </w:r>
          </w:p>
        </w:tc>
        <w:tc>
          <w:tcPr>
            <w:tcW w:type="dxa" w:w="3216"/>
            <w:shd w:val="clear" w:color="auto" w:fill="EEF3F9"/>
            <w:tcW w:w="4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300 台设备的实时采集、OEE、停机曲线</w:t>
            </w:r>
          </w:p>
        </w:tc>
      </w:tr>
      <w:tr>
        <w:tc>
          <w:tcPr>
            <w:tcW w:type="dxa" w:w="3216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对象存储</w:t>
            </w:r>
          </w:p>
        </w:tc>
        <w:tc>
          <w:tcPr>
            <w:tcW w:type="dxa" w:w="3216"/>
            <w:tcW w:w="2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MinIO / 云 OSS</w:t>
            </w:r>
          </w:p>
        </w:tc>
        <w:tc>
          <w:tcPr>
            <w:tcW w:type="dxa" w:w="3216"/>
            <w:tcW w:w="4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图纸、单据、附件、报表快照</w:t>
            </w:r>
          </w:p>
        </w:tc>
      </w:tr>
      <w:tr>
        <w:tc>
          <w:tcPr>
            <w:tcW w:type="dxa" w:w="3216"/>
            <w:shd w:val="clear" w:color="auto" w:fill="EEF3F9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容器与编排</w:t>
            </w:r>
          </w:p>
        </w:tc>
        <w:tc>
          <w:tcPr>
            <w:tcW w:type="dxa" w:w="3216"/>
            <w:shd w:val="clear" w:color="auto" w:fill="EEF3F9"/>
            <w:tcW w:w="2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Docker + Kubernetes</w:t>
            </w:r>
          </w:p>
        </w:tc>
        <w:tc>
          <w:tcPr>
            <w:tcW w:type="dxa" w:w="3216"/>
            <w:shd w:val="clear" w:color="auto" w:fill="EEF3F9"/>
            <w:tcW w:w="4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多服务部署、弹性、灰度；本地或私有云均可</w:t>
            </w:r>
          </w:p>
        </w:tc>
      </w:tr>
      <w:tr>
        <w:tc>
          <w:tcPr>
            <w:tcW w:type="dxa" w:w="3216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可观测 / CI-CD</w:t>
            </w:r>
          </w:p>
        </w:tc>
        <w:tc>
          <w:tcPr>
            <w:tcW w:type="dxa" w:w="3216"/>
            <w:tcW w:w="2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Prometheus+Grafana / GitLab CI 或 GitHub Actions</w:t>
            </w:r>
          </w:p>
        </w:tc>
        <w:tc>
          <w:tcPr>
            <w:tcW w:type="dxa" w:w="3216"/>
            <w:tcW w:w="4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监控告警、自动化构建与发布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667085"/>
          <w:sz w:val="19"/>
        </w:rPr>
        <w:t>规模说明：400 人、300 设备属于中型离散制造，上述组件单集群即可承载，无需一上来就上多数据中心或重型大数据平台；ClickHouse/时序库/Kafka 可按模块上线节奏逐步引入。</w:t>
      </w:r>
    </w:p>
    <w:p>
      <w:pPr>
        <w:pStyle w:val="Heading1"/>
        <w:spacing w:before="240" w:after="100"/>
      </w:pPr>
      <w:r>
        <w:rPr>
          <w:rFonts w:ascii="Calibri" w:hAnsi="Calibri" w:eastAsia="微软雅黑"/>
          <w:b/>
          <w:color w:val="1F4D78"/>
          <w:sz w:val="32"/>
        </w:rPr>
        <w:t>五、团队划分与语言映射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语言边界正好对应团队边界，一个组一门主语言：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4B5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团队</w:t>
            </w:r>
          </w:p>
        </w:tc>
        <w:tc>
          <w:tcPr>
            <w:tcW w:type="dxa" w:w="3216"/>
            <w:shd w:val="clear" w:color="auto" w:fill="2E74B5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主语言</w:t>
            </w:r>
          </w:p>
        </w:tc>
        <w:tc>
          <w:tcPr>
            <w:tcW w:type="dxa" w:w="3216"/>
            <w:shd w:val="clear" w:color="auto" w:fill="2E74B5"/>
            <w:tcW w:w="55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负责范围</w:t>
            </w:r>
          </w:p>
        </w:tc>
      </w:tr>
      <w:tr>
        <w:tc>
          <w:tcPr>
            <w:tcW w:type="dxa" w:w="3216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领域后端组</w:t>
            </w:r>
          </w:p>
        </w:tc>
        <w:tc>
          <w:tcPr>
            <w:tcW w:type="dxa" w:w="3216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Java / Kotlin</w:t>
            </w:r>
          </w:p>
        </w:tc>
        <w:tc>
          <w:tcPr>
            <w:tcW w:type="dxa" w:w="3216"/>
            <w:tcW w:w="5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财务、供应链、成本、订单、MRP 核心账本</w:t>
            </w:r>
          </w:p>
        </w:tc>
      </w:tr>
      <w:tr>
        <w:tc>
          <w:tcPr>
            <w:tcW w:type="dxa" w:w="3216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平台/中间件组</w:t>
            </w:r>
          </w:p>
        </w:tc>
        <w:tc>
          <w:tcPr>
            <w:tcW w:type="dxa" w:w="3216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Java + Go</w:t>
            </w:r>
          </w:p>
        </w:tc>
        <w:tc>
          <w:tcPr>
            <w:tcW w:type="dxa" w:w="3216"/>
            <w:shd w:val="clear" w:color="auto" w:fill="EEF3F9"/>
            <w:tcW w:w="5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元数据、权限、工作流、API 网关、基础中间件</w:t>
            </w:r>
          </w:p>
        </w:tc>
      </w:tr>
      <w:tr>
        <w:tc>
          <w:tcPr>
            <w:tcW w:type="dxa" w:w="3216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前端组</w:t>
            </w:r>
          </w:p>
        </w:tc>
        <w:tc>
          <w:tcPr>
            <w:tcW w:type="dxa" w:w="3216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TypeScript + Vue</w:t>
            </w:r>
          </w:p>
        </w:tc>
        <w:tc>
          <w:tcPr>
            <w:tcW w:type="dxa" w:w="3216"/>
            <w:tcW w:w="5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ERP 操作端、配置端、客户/供应商门户、移动端</w:t>
            </w:r>
          </w:p>
        </w:tc>
      </w:tr>
      <w:tr>
        <w:tc>
          <w:tcPr>
            <w:tcW w:type="dxa" w:w="3216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MES / IoT 组</w:t>
            </w:r>
          </w:p>
        </w:tc>
        <w:tc>
          <w:tcPr>
            <w:tcW w:type="dxa" w:w="3216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Go + C#</w:t>
            </w:r>
          </w:p>
        </w:tc>
        <w:tc>
          <w:tcPr>
            <w:tcW w:type="dxa" w:w="3216"/>
            <w:shd w:val="clear" w:color="auto" w:fill="EEF3F9"/>
            <w:tcW w:w="5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车间执行、扫码报工、设备接入、时序采集</w:t>
            </w:r>
          </w:p>
        </w:tc>
      </w:tr>
      <w:tr>
        <w:tc>
          <w:tcPr>
            <w:tcW w:type="dxa" w:w="3216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数据与 AI 组</w:t>
            </w:r>
          </w:p>
        </w:tc>
        <w:tc>
          <w:tcPr>
            <w:tcW w:type="dxa" w:w="3216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Python</w:t>
            </w:r>
          </w:p>
        </w:tc>
        <w:tc>
          <w:tcPr>
            <w:tcW w:type="dxa" w:w="3216"/>
            <w:tcW w:w="5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BI/报表、ETL、财务与老板 AI 问答（DeepSeek）</w:t>
            </w:r>
          </w:p>
        </w:tc>
      </w:tr>
      <w:tr>
        <w:tc>
          <w:tcPr>
            <w:tcW w:type="dxa" w:w="3216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测试 / DevOps</w:t>
            </w:r>
          </w:p>
        </w:tc>
        <w:tc>
          <w:tcPr>
            <w:tcW w:type="dxa" w:w="3216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TypeScript + Go</w:t>
            </w:r>
          </w:p>
        </w:tc>
        <w:tc>
          <w:tcPr>
            <w:tcW w:type="dxa" w:w="3216"/>
            <w:shd w:val="clear" w:color="auto" w:fill="EEF3F9"/>
            <w:tcW w:w="55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自动化测试、CI/CD、K8s、可观测、发布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Calibri" w:hAnsi="Calibri" w:eastAsia="微软雅黑"/>
          <w:b/>
          <w:color w:val="1F4D78"/>
          <w:sz w:val="32"/>
        </w:rPr>
        <w:t>六、服务间接口与集成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对外/对前端</w:t>
      </w:r>
      <w:r>
        <w:rPr>
          <w:rFonts w:ascii="Calibri" w:hAnsi="Calibri" w:eastAsia="微软雅黑"/>
          <w:b w:val="0"/>
          <w:sz w:val="21"/>
        </w:rPr>
        <w:t>：REST + OpenAPI，稳定、易调试、门户和第三方好对接。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内部高频/强类型调用</w:t>
      </w:r>
      <w:r>
        <w:rPr>
          <w:rFonts w:ascii="Calibri" w:hAnsi="Calibri" w:eastAsia="微软雅黑"/>
          <w:b w:val="0"/>
          <w:sz w:val="21"/>
        </w:rPr>
        <w:t>：gRPC + Protobuf（如核心后端 ↔ MES ↔ AI 服务），跨语言契约清晰、性能好。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异步与事件</w:t>
      </w:r>
      <w:r>
        <w:rPr>
          <w:rFonts w:ascii="Calibri" w:hAnsi="Calibri" w:eastAsia="微软雅黑"/>
          <w:b w:val="0"/>
          <w:sz w:val="21"/>
        </w:rPr>
        <w:t>：Kafka 事件（订单变更、报工完成、检验判定、库存变动），用于解耦、审计与实时看板；AI/BI 侧只订阅只读。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AI 服务边界</w:t>
      </w:r>
      <w:r>
        <w:rPr>
          <w:rFonts w:ascii="Calibri" w:hAnsi="Calibri" w:eastAsia="微软雅黑"/>
          <w:b w:val="0"/>
          <w:sz w:val="21"/>
        </w:rPr>
        <w:t>：AI 问答服务通过受控接口读取指标/单据，任何写回只生成草稿并走原审批流（与 V1.2 “AI 默认只读”原则一致）。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Calibri" w:hAnsi="Calibri" w:eastAsia="微软雅黑"/>
          <w:b/>
          <w:color w:val="1F4D78"/>
          <w:sz w:val="32"/>
        </w:rPr>
        <w:t>七、财务与老板 AI 问答方案（DeepSeek）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111111"/>
          <w:sz w:val="21"/>
        </w:rPr>
        <w:t>这是本项目的差异化诉求（V1.2 的 AIX Epic）：财务与老板用自然语言问经营数据，要求原因下钻、情景模拟，且回答必须带单据/口径引用、按权限隔离、留审计。下面给出以 DeepSeek API 为大脑的落地方案与软件推荐。</w:t>
      </w:r>
    </w:p>
    <w:p>
      <w:pPr>
        <w:pStyle w:val="Heading2"/>
        <w:spacing w:before="180" w:after="60"/>
      </w:pPr>
      <w:r>
        <w:rPr>
          <w:rFonts w:ascii="Calibri" w:hAnsi="Calibri" w:eastAsia="微软雅黑"/>
          <w:b/>
          <w:color w:val="2E74B5"/>
          <w:sz w:val="26"/>
        </w:rPr>
        <w:t>7.1 需求本质：这是“问数据 + 问文档 + 编排”三件事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问结构化数据</w:t>
      </w:r>
      <w:r>
        <w:rPr>
          <w:rFonts w:ascii="Calibri" w:hAnsi="Calibri" w:eastAsia="微软雅黑"/>
          <w:b w:val="0"/>
          <w:sz w:val="21"/>
        </w:rPr>
        <w:t>：财务、库存、成本等指标，本质是受控的 NL2SQL / ChatBI——把自然语言转成对数据库的查询，返回数字与图表，并标注取数口径与源单。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问非结构化文档</w:t>
      </w:r>
      <w:r>
        <w:rPr>
          <w:rFonts w:ascii="Calibri" w:hAnsi="Calibri" w:eastAsia="微软雅黑"/>
          <w:b w:val="0"/>
          <w:sz w:val="21"/>
        </w:rPr>
        <w:t>：合同、单据、制度、经营报告，本质是带引用溯源的 RAG（检索增强生成）。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编排 + 权限 + 审计 + 界面</w:t>
      </w:r>
      <w:r>
        <w:rPr>
          <w:rFonts w:ascii="Calibri" w:hAnsi="Calibri" w:eastAsia="微软雅黑"/>
          <w:b w:val="0"/>
          <w:sz w:val="21"/>
        </w:rPr>
        <w:t>：把上面两半拼成一个应用，套上角色权限、行级数据隔离、对话审计与可嵌入的问答界面。</w:t>
      </w:r>
    </w:p>
    <w:p>
      <w:pPr>
        <w:pStyle w:val="Heading2"/>
        <w:spacing w:before="180" w:after="60"/>
      </w:pPr>
      <w:r>
        <w:rPr>
          <w:rFonts w:ascii="Calibri" w:hAnsi="Calibri" w:eastAsia="微软雅黑"/>
          <w:b/>
          <w:color w:val="2E74B5"/>
          <w:sz w:val="26"/>
        </w:rPr>
        <w:t>7.2 DeepSeek 模型选择（2026 现状）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DeepSeek 官方 API 目前提供 deepseek-v4-flash 与 deepseek-v4-pro（均为 MoE、1M 超长上下文）以及 R1 推理模型；旧的 deepseek-chat / deepseek-reasoner 别名将于 2026/07/24 弃用，应直接用新模型名。API 与 OpenAI 兼容，支持流式与 function calling，并提供自动上下文缓存（命中前缀时输入按 10% 计价）。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4B5"/>
            <w:tcW w:w="21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3216"/>
            <w:shd w:val="clear" w:color="auto" w:fill="2E74B5"/>
            <w:tcW w:w="24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216"/>
            <w:shd w:val="clear" w:color="auto" w:fill="2E74B5"/>
            <w:tcW w:w="48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本项目用法</w:t>
            </w:r>
          </w:p>
        </w:tc>
      </w:tr>
      <w:tr>
        <w:tc>
          <w:tcPr>
            <w:tcW w:type="dxa" w:w="3216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deepseek-v4-flash</w:t>
            </w:r>
          </w:p>
        </w:tc>
        <w:tc>
          <w:tcPr>
            <w:tcW w:type="dxa" w:w="3216"/>
            <w:tcW w:w="24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低价高频、快</w:t>
            </w:r>
          </w:p>
        </w:tc>
        <w:tc>
          <w:tcPr>
            <w:tcW w:type="dxa" w:w="3216"/>
            <w:tcW w:w="48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高频问答、意图识别、SQL 草拟、图表说明；成本敏感的默认档</w:t>
            </w:r>
          </w:p>
        </w:tc>
      </w:tr>
      <w:tr>
        <w:tc>
          <w:tcPr>
            <w:tcW w:type="dxa" w:w="3216"/>
            <w:shd w:val="clear" w:color="auto" w:fill="EEF3F9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deepseek-v4-pro</w:t>
            </w:r>
          </w:p>
        </w:tc>
        <w:tc>
          <w:tcPr>
            <w:tcW w:type="dxa" w:w="3216"/>
            <w:shd w:val="clear" w:color="auto" w:fill="EEF3F9"/>
            <w:tcW w:w="24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更强生成/推理</w:t>
            </w:r>
          </w:p>
        </w:tc>
        <w:tc>
          <w:tcPr>
            <w:tcW w:type="dxa" w:w="3216"/>
            <w:shd w:val="clear" w:color="auto" w:fill="EEF3F9"/>
            <w:tcW w:w="48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复杂经营分析、多表口径推理、报告生成</w:t>
            </w:r>
          </w:p>
        </w:tc>
      </w:tr>
      <w:tr>
        <w:tc>
          <w:tcPr>
            <w:tcW w:type="dxa" w:w="3216"/>
            <w:tcW w:w="21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DeepSeek R1</w:t>
            </w:r>
          </w:p>
        </w:tc>
        <w:tc>
          <w:tcPr>
            <w:tcW w:type="dxa" w:w="3216"/>
            <w:tcW w:w="24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显式推理链、工具调用</w:t>
            </w:r>
          </w:p>
        </w:tc>
        <w:tc>
          <w:tcPr>
            <w:tcW w:type="dxa" w:w="3216"/>
            <w:tcW w:w="48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原因下钻、情景模拟等需要展示推理过程的场景</w:t>
            </w:r>
          </w:p>
        </w:tc>
      </w:tr>
    </w:tbl>
    <w:p>
      <w:pPr>
        <w:spacing w:after="40"/>
      </w:pPr>
    </w:p>
    <w:p>
      <w:pPr>
        <w:pStyle w:val="Heading2"/>
        <w:spacing w:before="180" w:after="60"/>
      </w:pPr>
      <w:r>
        <w:rPr>
          <w:rFonts w:ascii="Calibri" w:hAnsi="Calibri" w:eastAsia="微软雅黑"/>
          <w:b/>
          <w:color w:val="2E74B5"/>
          <w:sz w:val="26"/>
        </w:rPr>
        <w:t>7.3 软件推荐：把 DeepSeek 用到最大的组合</w:t>
      </w:r>
    </w:p>
    <w:p>
      <w:pPr>
        <w:spacing w:before="0" w:after="80"/>
      </w:pPr>
      <w:r>
        <w:rPr>
          <w:rFonts w:ascii="Calibri" w:hAnsi="Calibri" w:eastAsia="微软雅黑"/>
          <w:b w:val="0"/>
          <w:color w:val="111111"/>
          <w:sz w:val="21"/>
        </w:rPr>
        <w:t>没有单一软件能一次满足“问数据要准 + 问文档带引用 + 权限审计 + 产品化”。发挥 DeepSeek 最大价值的做法是“编排平台 + 专用问数据引擎 + 文档 RAG”三件套，全部可自托管、原生支持 DeepSeek：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4B5"/>
            <w:tcW w:w="19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12"/>
            <w:shd w:val="clear" w:color="auto" w:fill="2E74B5"/>
            <w:tcW w:w="17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推荐软件</w:t>
            </w:r>
          </w:p>
        </w:tc>
        <w:tc>
          <w:tcPr>
            <w:tcW w:type="dxa" w:w="2412"/>
            <w:shd w:val="clear" w:color="auto" w:fill="2E74B5"/>
            <w:tcW w:w="42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为什么</w:t>
            </w:r>
          </w:p>
        </w:tc>
        <w:tc>
          <w:tcPr>
            <w:tcW w:type="dxa" w:w="2412"/>
            <w:shd w:val="clear" w:color="auto" w:fill="2E74B5"/>
            <w:tcW w:w="15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备选</w:t>
            </w:r>
          </w:p>
        </w:tc>
      </w:tr>
      <w:tr>
        <w:tc>
          <w:tcPr>
            <w:tcW w:type="dxa" w:w="2412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编排 / 应用 / 权限 / 界面</w:t>
            </w:r>
          </w:p>
        </w:tc>
        <w:tc>
          <w:tcPr>
            <w:tcW w:type="dxa" w:w="2412"/>
            <w:tcW w:w="1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Dify（自托管）</w:t>
            </w:r>
          </w:p>
        </w:tc>
        <w:tc>
          <w:tcPr>
            <w:tcW w:type="dxa" w:w="2412"/>
            <w:tcW w:w="42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原生接 DeepSeek，工作流+RBAC+引用+API+可嵌入；把三件套拼成一个可运营的应用</w:t>
            </w:r>
          </w:p>
        </w:tc>
        <w:tc>
          <w:tcPr>
            <w:tcW w:type="dxa" w:w="2412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n8n、自研(LangChain)</w:t>
            </w:r>
          </w:p>
        </w:tc>
      </w:tr>
      <w:tr>
        <w:tc>
          <w:tcPr>
            <w:tcW w:type="dxa" w:w="2412"/>
            <w:shd w:val="clear" w:color="auto" w:fill="EEF3F9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问结构化数据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(NL2SQL / ChatBI)</w:t>
            </w:r>
          </w:p>
        </w:tc>
        <w:tc>
          <w:tcPr>
            <w:tcW w:type="dxa" w:w="2412"/>
            <w:shd w:val="clear" w:color="auto" w:fill="EEF3F9"/>
            <w:tcW w:w="1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DB-GPT（蚂蚁开源）</w:t>
            </w:r>
          </w:p>
        </w:tc>
        <w:tc>
          <w:tcPr>
            <w:tcW w:type="dxa" w:w="2412"/>
            <w:shd w:val="clear" w:color="auto" w:fill="EEF3F9"/>
            <w:tcW w:w="42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AI-native 数据应用框架，Text2SQL 优化 + 语义层 + 图表，中文与国产库场景强，支持 DeepSeek</w:t>
            </w:r>
          </w:p>
        </w:tc>
        <w:tc>
          <w:tcPr>
            <w:tcW w:type="dxa" w:w="2412"/>
            <w:shd w:val="clear" w:color="auto" w:fill="EEF3F9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WrenAI（现代语义层+图表）、Vanna（轻量可嵌入自研）</w:t>
            </w:r>
          </w:p>
        </w:tc>
      </w:tr>
      <w:tr>
        <w:tc>
          <w:tcPr>
            <w:tcW w:type="dxa" w:w="2412"/>
            <w:tcW w:w="19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问文档</w:t>
            </w:r>
          </w:p>
          <w:p>
            <w:pPr>
              <w:spacing w:after="20"/>
              <w:jc w:val="left"/>
            </w:pPr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(RAG 引用溯源)</w:t>
            </w:r>
          </w:p>
        </w:tc>
        <w:tc>
          <w:tcPr>
            <w:tcW w:type="dxa" w:w="2412"/>
            <w:tcW w:w="17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RAGFlow</w:t>
            </w:r>
          </w:p>
        </w:tc>
        <w:tc>
          <w:tcPr>
            <w:tcW w:type="dxa" w:w="2412"/>
            <w:tcW w:w="42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深度文档理解 + 内置 OCR，答案给清晰引用、可视化命中片段，降低幻觉；支持团队权限与私有化</w:t>
            </w:r>
          </w:p>
        </w:tc>
        <w:tc>
          <w:tcPr>
            <w:tcW w:type="dxa" w:w="2412"/>
            <w:tcW w:w="15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Dify 内置知识库（更简单）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 w:eastAsia="微软雅黑"/>
          <w:b w:val="0"/>
          <w:color w:val="111111"/>
          <w:sz w:val="21"/>
        </w:rPr>
        <w:t>选择逻辑：想最快跑起来、只做一个平台，用 **Dify** 单独也能做（工作流 + 知识库 + 简易 NL2SQL）。但 V1.2 对“问数据要准、要带口径、要引用源单”的硬要求，靠通用 NL2SQL 不够稳，需要一个带**语义层/指标字典**的专用引擎（DB-GPT 或 WrenAI）来保证口径一致与权限可控。若追求产品化与最大掌控，数据与 AI 组也可用 **Python + Vanna/DB-GPT 语义层 + LangChain** 直接封装成自研 AI 服务——这也是“数据与 AI 组用 Python”落地的形态。</w:t>
      </w:r>
    </w:p>
    <w:p>
      <w:pPr>
        <w:pStyle w:val="Heading2"/>
        <w:spacing w:before="180" w:after="60"/>
      </w:pPr>
      <w:r>
        <w:rPr>
          <w:rFonts w:ascii="Calibri" w:hAnsi="Calibri" w:eastAsia="微软雅黑"/>
          <w:b/>
          <w:color w:val="2E74B5"/>
          <w:sz w:val="26"/>
        </w:rPr>
        <w:t>7.4 让 DeepSeek 发挥最大的关键工程要点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给语义层，别裸表</w:t>
      </w:r>
      <w:r>
        <w:rPr>
          <w:rFonts w:ascii="Calibri" w:hAnsi="Calibri" w:eastAsia="微软雅黑"/>
          <w:b w:val="0"/>
          <w:sz w:val="21"/>
        </w:rPr>
        <w:t>：不要让 DeepSeek 直接对着原始表写 SQL。先建指标字典与受控视图（毛利、账龄、齐套率、报废率等口径固定），模型只在语义层上生成查询，保证口径一致、结果可解释、可追溯到源单。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用 function calling 而非裸 SQL</w:t>
      </w:r>
      <w:r>
        <w:rPr>
          <w:rFonts w:ascii="Calibri" w:hAnsi="Calibri" w:eastAsia="微软雅黑"/>
          <w:b w:val="0"/>
          <w:sz w:val="21"/>
        </w:rPr>
        <w:t>：把“查指标”“查单据”“跑情景模拟”定义成工具让模型调用，输入输出可校验，安全可控，避免模型自由拼 SQL 带来的越权与错算。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吃满 1M 上下文 + 命中缓存</w:t>
      </w:r>
      <w:r>
        <w:rPr>
          <w:rFonts w:ascii="Calibri" w:hAnsi="Calibri" w:eastAsia="微软雅黑"/>
          <w:b w:val="0"/>
          <w:sz w:val="21"/>
        </w:rPr>
        <w:t>：把库表 schema、指标口径、系统提示词放在请求前缀，DeepSeek 自动上下文缓存会把这部分按 10% 计价，既降成本又稳口径。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行级权限前置</w:t>
      </w:r>
      <w:r>
        <w:rPr>
          <w:rFonts w:ascii="Calibri" w:hAnsi="Calibri" w:eastAsia="微软雅黑"/>
          <w:b w:val="0"/>
          <w:sz w:val="21"/>
        </w:rPr>
        <w:t>：SQL 执行前统一经行级/字段级权限过滤（老板看汇总、财务看本组织、业务不看供应商底价），权限在数据层强制，而非靠提示词约束。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引用 + 审计</w:t>
      </w:r>
      <w:r>
        <w:rPr>
          <w:rFonts w:ascii="Calibri" w:hAnsi="Calibri" w:eastAsia="微软雅黑"/>
          <w:b w:val="0"/>
          <w:sz w:val="21"/>
        </w:rPr>
        <w:t>：每个回答附“取数口径 + 源单/文档链接 + 数据截止时间”，并记录问题、生成的查询、返回数据与访问者（对应 V1.2 “单据引用、权限隔离与审计”）。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只读默认、写回走审批</w:t>
      </w:r>
      <w:r>
        <w:rPr>
          <w:rFonts w:ascii="Calibri" w:hAnsi="Calibri" w:eastAsia="微软雅黑"/>
          <w:b w:val="0"/>
          <w:sz w:val="21"/>
        </w:rPr>
        <w:t>：AI 生成的任何调整（如预算建议）只落草稿，回到原单据审批流，绝不直接改账。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分档路由控成本</w:t>
      </w:r>
      <w:r>
        <w:rPr>
          <w:rFonts w:ascii="Calibri" w:hAnsi="Calibri" w:eastAsia="微软雅黑"/>
          <w:b w:val="0"/>
          <w:sz w:val="21"/>
        </w:rPr>
        <w:t>：高频简单问题走 v4-flash，复杂分析走 v4-pro，需展示推理的走 R1；用缓存 + 分档把 API 成本压到最低。</w:t>
      </w:r>
    </w:p>
    <w:p>
      <w:pPr>
        <w:pStyle w:val="Heading2"/>
        <w:spacing w:before="180" w:after="60"/>
      </w:pPr>
      <w:r>
        <w:rPr>
          <w:rFonts w:ascii="Calibri" w:hAnsi="Calibri" w:eastAsia="微软雅黑"/>
          <w:b/>
          <w:color w:val="2E74B5"/>
          <w:sz w:val="26"/>
        </w:rPr>
        <w:t>7.5 数据流（文字示意）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111111"/>
          <w:sz w:val="21"/>
        </w:rPr>
        <w:t>用户提问 → Dify 编排（鉴权、意图判断、路由）→ 若问数据：DB-GPT/语义层用 DeepSeek 生成受控查询 → 行级权限过滤后执行 → 返回数字+图表+口径引用；若问文档：RAGFlow 检索并用 DeepSeek 生成带引用的答案 → 统一由 Dify 汇总回复，并写入审计。全链路可私有化部署，数据不出内网（DeepSeek 仅接收经脱敏/受控的提示与 schema，敏感明细可在本地过滤后再入模型）。</w:t>
      </w:r>
    </w:p>
    <w:p>
      <w:pPr>
        <w:pStyle w:val="Heading1"/>
        <w:spacing w:before="240" w:after="100"/>
      </w:pPr>
      <w:r>
        <w:rPr>
          <w:rFonts w:ascii="Calibri" w:hAnsi="Calibri" w:eastAsia="微软雅黑"/>
          <w:b/>
          <w:color w:val="1F4D78"/>
          <w:sz w:val="32"/>
        </w:rPr>
        <w:t>八、落地建议与风险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先跑通垂直闭环</w:t>
      </w:r>
      <w:r>
        <w:rPr>
          <w:rFonts w:ascii="Calibri" w:hAnsi="Calibri" w:eastAsia="微软雅黑"/>
          <w:b w:val="0"/>
          <w:sz w:val="21"/>
        </w:rPr>
        <w:t>：按 V1.2 原则，先用 Java 核心 + TS 前端做通“订单→计划→生产→库存→财务”一条主线，再引入 Go(MES/设备)、Python(BI/AI) 等特种服务。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设备接入是最难、最不能纯靠工具的一环</w:t>
      </w:r>
      <w:r>
        <w:rPr>
          <w:rFonts w:ascii="Calibri" w:hAnsi="Calibri" w:eastAsia="微软雅黑"/>
          <w:b w:val="0"/>
          <w:sz w:val="21"/>
        </w:rPr>
        <w:t>：300 台设备协议各异、要现场联调，预留专门的 MES/IoT 组与真机测试时间。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AI 问答分两期</w:t>
      </w:r>
      <w:r>
        <w:rPr>
          <w:rFonts w:ascii="Calibri" w:hAnsi="Calibri" w:eastAsia="微软雅黑"/>
          <w:b w:val="0"/>
          <w:sz w:val="21"/>
        </w:rPr>
        <w:t>：一期用 Dify + RAGFlow 先上“问文档”（制度、合同、报告），门槛低、见效快；二期上 DB-GPT/语义层的“问数据”，需先把指标字典与权限模型做扎实。</w:t>
      </w:r>
    </w:p>
    <w:p>
      <w:pPr>
        <w:pStyle w:val="ListBullet"/>
        <w:spacing w:after="40"/>
        <w:ind w:left="432"/>
      </w:pPr>
      <w:r>
        <w:rPr>
          <w:rFonts w:ascii="Calibri" w:hAnsi="Calibri" w:eastAsia="微软雅黑"/>
          <w:b/>
          <w:sz w:val="21"/>
        </w:rPr>
        <w:t>产品化 vs 自用平衡</w:t>
      </w:r>
      <w:r>
        <w:rPr>
          <w:rFonts w:ascii="Calibri" w:hAnsi="Calibri" w:eastAsia="微软雅黑"/>
          <w:b w:val="0"/>
          <w:sz w:val="21"/>
        </w:rPr>
        <w:t>：对外销售要求多租户与配置化，会增加工作量；若近期以自用为主，可先做单租户但预留隔离设计，避免将来重构。</w:t>
      </w:r>
    </w:p>
    <w:p>
      <w:pPr>
        <w:pStyle w:val="Heading1"/>
        <w:spacing w:before="240" w:after="100"/>
      </w:pPr>
      <w:r>
        <w:rPr>
          <w:rFonts w:ascii="Calibri" w:hAnsi="Calibri" w:eastAsia="微软雅黑"/>
          <w:b/>
          <w:color w:val="1F4D78"/>
          <w:sz w:val="32"/>
        </w:rPr>
        <w:t>九、技术栈速查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4824"/>
        <w:gridCol w:w="4824"/>
      </w:tblGrid>
      <w:tr>
        <w:tc>
          <w:tcPr>
            <w:tcW w:type="dxa" w:w="4824"/>
            <w:shd w:val="clear" w:color="auto" w:fill="2E74B5"/>
            <w:tcW w:w="260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824"/>
            <w:shd w:val="clear" w:color="auto" w:fill="2E74B5"/>
            <w:tcW w:w="67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19"/>
              </w:rPr>
              <w:t>选型</w:t>
            </w:r>
          </w:p>
        </w:tc>
      </w:tr>
      <w:tr>
        <w:tc>
          <w:tcPr>
            <w:tcW w:type="dxa" w:w="4824"/>
            <w:tcW w:w="26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核心后端</w:t>
            </w:r>
          </w:p>
        </w:tc>
        <w:tc>
          <w:tcPr>
            <w:tcW w:type="dxa" w:w="4824"/>
            <w:tcW w:w="67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Java (Spring Boot) / Kotlin</w:t>
            </w:r>
          </w:p>
        </w:tc>
      </w:tr>
      <w:tr>
        <w:tc>
          <w:tcPr>
            <w:tcW w:type="dxa" w:w="4824"/>
            <w:shd w:val="clear" w:color="auto" w:fill="EEF3F9"/>
            <w:tcW w:w="26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前端 / 门户 / BFF</w:t>
            </w:r>
          </w:p>
        </w:tc>
        <w:tc>
          <w:tcPr>
            <w:tcW w:type="dxa" w:w="4824"/>
            <w:shd w:val="clear" w:color="auto" w:fill="EEF3F9"/>
            <w:tcW w:w="67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TypeScript + Vue / NestJS</w:t>
            </w:r>
          </w:p>
        </w:tc>
      </w:tr>
      <w:tr>
        <w:tc>
          <w:tcPr>
            <w:tcW w:type="dxa" w:w="4824"/>
            <w:tcW w:w="26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MES 实时 / 基础设施</w:t>
            </w:r>
          </w:p>
        </w:tc>
        <w:tc>
          <w:tcPr>
            <w:tcW w:type="dxa" w:w="4824"/>
            <w:tcW w:w="67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Go</w:t>
            </w:r>
          </w:p>
        </w:tc>
      </w:tr>
      <w:tr>
        <w:tc>
          <w:tcPr>
            <w:tcW w:type="dxa" w:w="4824"/>
            <w:shd w:val="clear" w:color="auto" w:fill="EEF3F9"/>
            <w:tcW w:w="26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设备接入</w:t>
            </w:r>
          </w:p>
        </w:tc>
        <w:tc>
          <w:tcPr>
            <w:tcW w:type="dxa" w:w="4824"/>
            <w:shd w:val="clear" w:color="auto" w:fill="EEF3F9"/>
            <w:tcW w:w="67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Go / C#（驱动偶用 C/C++）</w:t>
            </w:r>
          </w:p>
        </w:tc>
      </w:tr>
      <w:tr>
        <w:tc>
          <w:tcPr>
            <w:tcW w:type="dxa" w:w="4824"/>
            <w:tcW w:w="26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APS 排程</w:t>
            </w:r>
          </w:p>
        </w:tc>
        <w:tc>
          <w:tcPr>
            <w:tcW w:type="dxa" w:w="4824"/>
            <w:tcW w:w="67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C++ (OR-Tools) + Java/Python 封装</w:t>
            </w:r>
          </w:p>
        </w:tc>
      </w:tr>
      <w:tr>
        <w:tc>
          <w:tcPr>
            <w:tcW w:type="dxa" w:w="4824"/>
            <w:shd w:val="clear" w:color="auto" w:fill="EEF3F9"/>
            <w:tcW w:w="26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BI / ETL / AI</w:t>
            </w:r>
          </w:p>
        </w:tc>
        <w:tc>
          <w:tcPr>
            <w:tcW w:type="dxa" w:w="4824"/>
            <w:shd w:val="clear" w:color="auto" w:fill="EEF3F9"/>
            <w:tcW w:w="6760" w:type="dx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Python</w:t>
            </w:r>
          </w:p>
        </w:tc>
      </w:tr>
      <w:tr>
        <w:tc>
          <w:tcPr>
            <w:tcW w:type="dxa" w:w="4824"/>
            <w:tcW w:w="26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数据库</w:t>
            </w:r>
          </w:p>
        </w:tc>
        <w:tc>
          <w:tcPr>
            <w:tcW w:type="dxa" w:w="4824"/>
            <w:tcW w:w="67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PostgreSQL + ClickHouse/Doris + Redis + Kafka + ES + 时序库</w:t>
            </w:r>
          </w:p>
        </w:tc>
      </w:tr>
      <w:tr>
        <w:tc>
          <w:tcPr>
            <w:tcW w:type="dxa" w:w="4824"/>
            <w:shd w:val="clear" w:color="auto" w:fill="EEF3F9"/>
            <w:tcW w:w="26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AI 问答大脑</w:t>
            </w:r>
          </w:p>
        </w:tc>
        <w:tc>
          <w:tcPr>
            <w:tcW w:type="dxa" w:w="4824"/>
            <w:shd w:val="clear" w:color="auto" w:fill="EEF3F9"/>
            <w:tcW w:w="67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DeepSeek（v4-flash / v4-pro / R1，OpenAI 兼容 API）</w:t>
            </w:r>
          </w:p>
        </w:tc>
      </w:tr>
      <w:tr>
        <w:tc>
          <w:tcPr>
            <w:tcW w:type="dxa" w:w="4824"/>
            <w:tcW w:w="26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AI 问答软件</w:t>
            </w:r>
          </w:p>
        </w:tc>
        <w:tc>
          <w:tcPr>
            <w:tcW w:type="dxa" w:w="4824"/>
            <w:tcW w:w="67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Dify（编排/权限）+ DB-GPT 或 WrenAI（问数据）+ RAGFlow（问文档）</w:t>
            </w:r>
          </w:p>
        </w:tc>
      </w:tr>
      <w:tr>
        <w:tc>
          <w:tcPr>
            <w:tcW w:type="dxa" w:w="4824"/>
            <w:shd w:val="clear" w:color="auto" w:fill="EEF3F9"/>
            <w:tcW w:w="260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部署</w:t>
            </w:r>
          </w:p>
        </w:tc>
        <w:tc>
          <w:tcPr>
            <w:tcW w:type="dxa" w:w="4824"/>
            <w:shd w:val="clear" w:color="auto" w:fill="EEF3F9"/>
            <w:tcW w:w="6760" w:type="dx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微软雅黑"/>
                <w:b w:val="0"/>
                <w:color w:val="111111"/>
                <w:sz w:val="19"/>
              </w:rPr>
              <w:t>Docker + Kubernetes，可私有化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微软雅黑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