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120"/>
      </w:pPr>
      <w:r>
        <w:rPr>
          <w:rFonts w:ascii="Arial" w:cs="Arial" w:eastAsia="Arial" w:hAnsi="Arial"/>
          <w:b/>
          <w:bCs/>
          <w:color w:val="1A4A6E"/>
          <w:sz w:val="80"/>
          <w:szCs w:val="80"/>
        </w:rPr>
        <w:t xml:space="preserve">ASI</w:t>
      </w:r>
    </w:p>
    <w:p>
      <w:pPr>
        <w:spacing w:before="0" w:after="80"/>
      </w:pPr>
      <w:r>
        <w:rPr>
          <w:rFonts w:ascii="Arial" w:cs="Arial" w:eastAsia="Arial" w:hAnsi="Arial"/>
          <w:color w:val="4A6070"/>
          <w:sz w:val="36"/>
          <w:szCs w:val="36"/>
        </w:rPr>
        <w:t xml:space="preserve">Atlas de Suscetibilidade a Inundações</w:t>
      </w:r>
    </w:p>
    <w:p>
      <w:pPr>
        <w:spacing w:before="0" w:after="40"/>
      </w:pPr>
      <w:r>
        <w:rPr>
          <w:rFonts w:ascii="Arial" w:cs="Arial" w:eastAsia="Arial" w:hAnsi="Arial"/>
          <w:color w:val="4A6070"/>
          <w:sz w:val="24"/>
          <w:szCs w:val="24"/>
        </w:rPr>
        <w:t xml:space="preserve">SIGWeb — Sistema de Informação Geográfica</w:t>
      </w:r>
    </w:p>
    <w:tbl>
      <w:tblPr>
        <w:tblW w:type="dxa" w:w="2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1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v2.8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RELEASE</w:t>
            </w:r>
          </w:p>
        </w:tc>
      </w:tr>
    </w:tbl>
    <w:p>
      <w:r>
        <w:t xml:space="preserve"/>
      </w:r>
    </w:p>
    <w:p>
      <w:pPr>
        <w:spacing w:before="40" w:after="20"/>
      </w:pPr>
      <w:r>
        <w:rPr>
          <w:rFonts w:ascii="Arial" w:cs="Arial" w:eastAsia="Arial" w:hAnsi="Arial"/>
          <w:b/>
          <w:bCs/>
          <w:color w:val="4A6070"/>
          <w:sz w:val="20"/>
          <w:szCs w:val="20"/>
        </w:rPr>
        <w:t xml:space="preserve">Data de Encerramento:</w:t>
      </w:r>
    </w:p>
    <w:p>
      <w:pPr>
        <w:spacing w:before="0" w:after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28 de fevereiro de 2026</w:t>
      </w:r>
    </w:p>
    <w:p>
      <w:pPr>
        <w:spacing w:before="0" w:after="20"/>
      </w:pPr>
      <w:r>
        <w:rPr>
          <w:rFonts w:ascii="Arial" w:cs="Arial" w:eastAsia="Arial" w:hAnsi="Arial"/>
          <w:b/>
          <w:bCs/>
          <w:color w:val="4A6070"/>
          <w:sz w:val="20"/>
          <w:szCs w:val="20"/>
        </w:rPr>
        <w:t xml:space="preserve">Versão anterior:</w:t>
      </w:r>
    </w:p>
    <w:p>
      <w:pPr>
        <w:spacing w:before="0" w:after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v2.7 — Base estável (TWI, MarkerCluster, Exportação CSV)</w:t>
      </w:r>
    </w:p>
    <w:p>
      <w:pPr>
        <w:spacing w:before="0" w:after="20"/>
      </w:pPr>
      <w:r>
        <w:rPr>
          <w:rFonts w:ascii="Arial" w:cs="Arial" w:eastAsia="Arial" w:hAnsi="Arial"/>
          <w:b/>
          <w:bCs/>
          <w:color w:val="4A6070"/>
          <w:sz w:val="20"/>
          <w:szCs w:val="20"/>
        </w:rPr>
        <w:t xml:space="preserve">Módulos afetados:</w:t>
      </w:r>
    </w:p>
    <w:p>
      <w:pPr>
        <w:spacing w:before="0" w:after="20"/>
      </w:pPr>
      <w:r>
        <w:rPr>
          <w:rFonts w:ascii="Courier New" w:cs="Courier New" w:eastAsia="Courier New" w:hAnsi="Courier New"/>
          <w:color w:val="4A6070"/>
          <w:sz w:val="18"/>
          <w:szCs w:val="18"/>
        </w:rPr>
        <w:t xml:space="preserve">app.py  |  config.py  |  components.py  |  map_engine.py  |  data_loader.py  |  analytics.py  |  report_generator.py  |  documentation.py</w:t>
      </w:r>
    </w:p>
    <w:p>
      <w:r>
        <w:t xml:space="preserve"/>
      </w:r>
    </w:p>
    <w:p>
      <w:pPr>
        <w:pStyle w:val="Heading1"/>
        <w:pBdr>
          <w:bottom w:val="single" w:color="2E86C1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4A6E"/>
          <w:sz w:val="36"/>
          <w:szCs w:val="36"/>
        </w:rPr>
        <w:t xml:space="preserve">1. Visão Geral da Versão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 versão 2.8 do ASI SIGWeb representa a maior expansão de dados e interface desde o lançamento da plataforma. O ciclo de desenvolvimento incorporou três novas fontes de dados oficiais, um sistema completo de reprojeção cartográfica, redesign profundo da interface de usuário e correções críticas de pipeline de leitura de dados.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Dimensão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6E"/>
                <w:sz w:val="18"/>
                <w:szCs w:val="18"/>
              </w:rPr>
              <w:t xml:space="preserve">Novos datasets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Precipitação histórica (INMET/APAC), Eventos de inundação (SEPDEC), Consolidado Defesa Civil PE 2024–2026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6E"/>
                <w:sz w:val="18"/>
                <w:szCs w:val="18"/>
              </w:rPr>
              <w:t xml:space="preserve">Cartografia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Substituição da malha de bairros por pe_municipios_2024.json (185 municípios) + reprojeção UTM→WGS84 do arquivo de bairros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6E"/>
                <w:sz w:val="18"/>
                <w:szCs w:val="18"/>
              </w:rPr>
              <w:t xml:space="preserve">Interface (UI/UX)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Redesign completo: IBM Plex Mono/Sans, tema GIS profissional, submenus aninhados, card de diagnóstico com cor dinâmica por classe TWI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6E"/>
                <w:sz w:val="18"/>
                <w:szCs w:val="18"/>
              </w:rPr>
              <w:t xml:space="preserve">Correções críticas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Decimal vírgula no CSV Defesa Civil, cache @st.cache_resource→@st.cache_data, coluna registros ausente no scatter, coordenadas UTM no GeoJSON de bairros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E86C1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4A6E"/>
          <w:sz w:val="36"/>
          <w:szCs w:val="36"/>
        </w:rPr>
        <w:t xml:space="preserve">2. Novos Recursos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C9923A"/>
          <w:sz w:val="26"/>
          <w:szCs w:val="26"/>
        </w:rPr>
        <w:t xml:space="preserve">2.1  Painel Defesa Civil PE (SEPDEC 2024–2026)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Novo painel analítico com dados consolidados de danos humanos e materiais de 78 municípios de Pernambuco, extraídos do dashboard Power BI da SEPDEC.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200"/>
        <w:gridCol w:w="1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6E"/>
                <w:sz w:val="18"/>
                <w:szCs w:val="18"/>
              </w:rPr>
              <w:t xml:space="preserve">data_loader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Nova função load_defesa_civil() com leitura robusta de CSV sep=";" decimal=","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NOVO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6E"/>
                <w:sz w:val="18"/>
                <w:szCs w:val="18"/>
              </w:rPr>
              <w:t xml:space="preserve">analytics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render_defesa_civil_dashboard() — 3 abas: Danos Humanos, Materiais, Distribuição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NOVO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6E"/>
                <w:sz w:val="18"/>
                <w:szCs w:val="18"/>
              </w:rPr>
              <w:t xml:space="preserve">app.py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Sessão 3c integrada ao fluxo de analytics_mode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NOVO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6E"/>
                <w:sz w:val="18"/>
                <w:szCs w:val="18"/>
              </w:rPr>
              <w:t xml:space="preserve">config.py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PATH_DEFESA_CIVIL adicionado com documentação interna de colunas esperadas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NOVO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6E"/>
                <w:sz w:val="18"/>
                <w:szCs w:val="18"/>
              </w:rPr>
              <w:t xml:space="preserve">Correção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Scatter plot corrigido: size=registros→size=_tamanho (coluna não existia no CSV)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923A"/>
                <w:sz w:val="17"/>
                <w:szCs w:val="17"/>
              </w:rPr>
              <w:t xml:space="preserve">FIX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6E"/>
                <w:sz w:val="18"/>
                <w:szCs w:val="18"/>
              </w:rPr>
              <w:t xml:space="preserve">Correção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Cache @st.cache_resource substituído por @st.cache_data para limpeza correta entre sessões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923A"/>
                <w:sz w:val="17"/>
                <w:szCs w:val="17"/>
              </w:rPr>
              <w:t xml:space="preserve">FIX</w:t>
            </w:r>
          </w:p>
        </w:tc>
      </w:tr>
    </w:tbl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B4A0"/>
          <w:sz w:val="26"/>
          <w:szCs w:val="26"/>
        </w:rPr>
        <w:t xml:space="preserve">2.2  Série Histórica de Precipitação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Integração do dataset de precipitação histórica da APAC/INMET ao painel analítico, com gráficos de série temporal e estatísticas por estação meteorológica.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200"/>
        <w:gridCol w:w="1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6E"/>
                <w:sz w:val="18"/>
                <w:szCs w:val="18"/>
              </w:rPr>
              <w:t xml:space="preserve">data_loader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Nova função load_precipitacao() com parse de datas e validação de coordenadas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NOVO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6E"/>
                <w:sz w:val="18"/>
                <w:szCs w:val="18"/>
              </w:rPr>
              <w:t xml:space="preserve">analytics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render_precipitacao_dashboard() — gráficos por estação, médias e máximas históricas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NOVO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6E"/>
                <w:sz w:val="18"/>
                <w:szCs w:val="18"/>
              </w:rPr>
              <w:t xml:space="preserve">config.py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PATH_PRECIPITACAO adicionado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NOVO</w:t>
            </w:r>
          </w:p>
        </w:tc>
      </w:tr>
    </w:tbl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2.3  Eventos Históricos de Inundação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Camada de marcadores no mapa representando registros históricos de inundação, classificados por severidade (LEVE, MODERADA, GRAVE) com popup informativo e filtro temporal.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200"/>
        <w:gridCol w:w="1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6E"/>
                <w:sz w:val="18"/>
                <w:szCs w:val="18"/>
              </w:rPr>
              <w:t xml:space="preserve">data_loader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Nova função load_eventos_inundacao() com normalização de severidade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NOVO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6E"/>
                <w:sz w:val="18"/>
                <w:szCs w:val="18"/>
              </w:rPr>
              <w:t xml:space="preserve">map_engine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Camada eventos_layer com CircleMarker diferenciado por severidade + popup HTML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NOVO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6E"/>
                <w:sz w:val="18"/>
                <w:szCs w:val="18"/>
              </w:rPr>
              <w:t xml:space="preserve">app.py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Filtro de período por ano (ano_inicio / ano_fim) com filtro condicional no expander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NOVO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6E"/>
                <w:sz w:val="18"/>
                <w:szCs w:val="18"/>
              </w:rPr>
              <w:t xml:space="preserve">app.py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Listagem de eventos históricos próximos ao ponto clicado (raio 0.005°)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NOVO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6E"/>
                <w:sz w:val="18"/>
                <w:szCs w:val="18"/>
              </w:rPr>
              <w:t xml:space="preserve">config.py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PATH_EVENTOS e COLORS_EVENTOS adicionados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NOVO</w:t>
            </w:r>
          </w:p>
        </w:tc>
      </w:tr>
    </w:tbl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8B76C2"/>
          <w:sz w:val="26"/>
          <w:szCs w:val="26"/>
        </w:rPr>
        <w:t xml:space="preserve">2.4  Ranking IRA por Bairro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Cálculo e exibição do Índice de Risco Agregado (IRA) por bairro, com ponderação por classe TWI e visualização em gráfico de barras e tabela.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200"/>
        <w:gridCol w:w="1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6E"/>
                <w:sz w:val="18"/>
                <w:szCs w:val="18"/>
              </w:rPr>
              <w:t xml:space="preserve">data_loader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calcular_indice_risco_bairro() — pesos CRÍTICO=5 → MUITO_BAIXO=1, classe dominante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NOVO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6E"/>
                <w:sz w:val="18"/>
                <w:szCs w:val="18"/>
              </w:rPr>
              <w:t xml:space="preserve">analytics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render_ranking_bairros() — gráfico horizontal + tabela completa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NOVO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6E"/>
                <w:sz w:val="18"/>
                <w:szCs w:val="18"/>
              </w:rPr>
              <w:t xml:space="preserve">app.py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Sessão 3d com ranking_mode independente de analytics_mode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NOVO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E86C1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4A6E"/>
          <w:sz w:val="36"/>
          <w:szCs w:val="36"/>
        </w:rPr>
        <w:t xml:space="preserve">3. Atualizações Cartográficas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4A6E"/>
          <w:sz w:val="26"/>
          <w:szCs w:val="26"/>
        </w:rPr>
        <w:t xml:space="preserve">3.1  Substituição da Malha Vetorial Principal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 arquivo bairros_cabo_oficial.json foi substituído por pe_municipios_2024.json (IBGE/185 municípios de PE) como camada de delimitação principal. A camada agora opera exclusivamente como overlay de bordas (fillOpacity=0), sem preenchimento de área, com tooltip exibindo o nome do município ao hover.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200"/>
        <w:gridCol w:w="1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Alteração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6E"/>
                <w:sz w:val="18"/>
                <w:szCs w:val="18"/>
              </w:rPr>
              <w:t xml:space="preserve">config.py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PATH_GEOJSON → pe_municipios_2024.json | PATH_BAIRROS adicionado para uso futuro (v2.9)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ALTERADO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6E"/>
                <w:sz w:val="18"/>
                <w:szCs w:val="18"/>
              </w:rPr>
              <w:t xml:space="preserve">map_engine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style_function: fillOpacity=0.0, weight=1.2, highlight em branco, tooltip NM_MUN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ALTERADO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6E"/>
                <w:sz w:val="18"/>
                <w:szCs w:val="18"/>
              </w:rPr>
              <w:t xml:space="preserve">map_engine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_load_geojson_cache: @st.cache_resource→@st.cache_data, diagnóstico de path ausente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923A"/>
                <w:sz w:val="17"/>
                <w:szCs w:val="17"/>
              </w:rPr>
              <w:t xml:space="preserve">FIX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6E"/>
                <w:sz w:val="18"/>
                <w:szCs w:val="18"/>
              </w:rPr>
              <w:t xml:space="preserve">components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Toggle renomeado: "Malha Vetorial (Bairros)" → "Delimitação Municipal (PE)"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17"/>
                <w:szCs w:val="17"/>
              </w:rPr>
              <w:t xml:space="preserve">ALTERADO</w:t>
            </w:r>
          </w:p>
        </w:tc>
      </w:tr>
    </w:tbl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4A6E"/>
          <w:sz w:val="26"/>
          <w:szCs w:val="26"/>
        </w:rPr>
        <w:t xml:space="preserve">3.2  Reprojeção UTM → WGS84 (bairros_cabo_oficial.json)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 arquivo original de bairros estava em SIRGAS 2000 / UTM Zona 25S (EPSG:31985), com coordenadas em metros (ex: 279754, 9085212). Foi realizada reprojeção matemática pura para WGS84 (EPSG:4326), resultando em coordenadas decimais corretas para o município do Cabo de Santo Agostinho (lon: -35.23 a -34.92 | lat: -8.37 a -8.21). Campo NM_BAIRRO adicionado às propriedades para compatibilidade com o data_loader.</w:t>
      </w:r>
    </w:p>
    <w:p>
      <w:r>
        <w:t xml:space="preserve"/>
      </w:r>
    </w:p>
    <w:p>
      <w:pPr>
        <w:pStyle w:val="Heading1"/>
        <w:pBdr>
          <w:bottom w:val="single" w:color="2E86C1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4A6E"/>
          <w:sz w:val="36"/>
          <w:szCs w:val="36"/>
        </w:rPr>
        <w:t xml:space="preserve">4. Redesign de Interface (UI/UX)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4A6E"/>
          <w:sz w:val="26"/>
          <w:szCs w:val="26"/>
        </w:rPr>
        <w:t xml:space="preserve">4.1  Tema GIS Profissional — ASI_CSS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Redesign completo do components.py com injeção de CSS global via constante ASI_CSS. Direção visual: dashboard científico refinado, inspirado em software GIS profissional (QGIS/ArcGIS).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Especificação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6E"/>
                <w:sz w:val="18"/>
                <w:szCs w:val="18"/>
              </w:rPr>
              <w:t xml:space="preserve">Tipografia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IBM Plex Mono (labels técnicos, valores, tabs) + IBM Plex Sans (texto corrido, toggles)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6E"/>
                <w:sz w:val="18"/>
                <w:szCs w:val="18"/>
              </w:rPr>
              <w:t xml:space="preserve">Paleta de cores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Fundo #080C10, superfície #0D1219, azul aço #2E86C1, ciano #00B4D8, texto #C8D6E0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6E"/>
                <w:sz w:val="18"/>
                <w:szCs w:val="18"/>
              </w:rPr>
              <w:t xml:space="preserve">Expanders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Labels em monospace uppercase "// CARTOGRAFIA", borda fina com hover suave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6E"/>
                <w:sz w:val="18"/>
                <w:szCs w:val="18"/>
              </w:rPr>
              <w:t xml:space="preserve">Micro-interações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Hover em toggles, checkboxes, métricas, botões; pulse em alertas críticos; transições CSS 0.2s ease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6E"/>
                <w:sz w:val="18"/>
                <w:szCs w:val="18"/>
              </w:rPr>
              <w:t xml:space="preserve">Títulos h3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Cor unificada #D0DDE6 (branco-acinzentado frio) — uniforme em todas as seções, sem saturação de azul</w:t>
            </w:r>
          </w:p>
        </w:tc>
      </w:tr>
    </w:tbl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4A6E"/>
          <w:sz w:val="26"/>
          <w:szCs w:val="26"/>
        </w:rPr>
        <w:t xml:space="preserve">4.2  Submenus Aninhados nos Expanders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Cada expander principal (//) passou a conter subexpanders filhos, reduzindo a altura visual e melhorando a organização hierárquica dos controles. O CSS diferencia o nível 2 com borda esquerda fina, fundo mais escuro e texto menor que o nível 1.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Expander Principal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Submenus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B4D8"/>
                <w:sz w:val="18"/>
                <w:szCs w:val="18"/>
              </w:rPr>
              <w:t xml:space="preserve">// CARTOGRAFIA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TILESET BASE  |  OVERLAY DE CAMADAS  |  PERFORMANCE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B4D8"/>
                <w:sz w:val="18"/>
                <w:szCs w:val="18"/>
              </w:rPr>
              <w:t xml:space="preserve">// FILTRAGEM VETORIAL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RECORTE ESPACIAL  |  PARÂMETRO TWI  |  JANELA TEMPORAL (condicional)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B4D8"/>
                <w:sz w:val="18"/>
                <w:szCs w:val="18"/>
              </w:rPr>
              <w:t xml:space="preserve">// MÓDULOS ANALÍTICOS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INSPEÇÃO VETORIAL  |  PAINÉIS ANALÍTICOS  |  OUTPUT</w:t>
            </w:r>
          </w:p>
        </w:tc>
      </w:tr>
    </w:tbl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4A6E"/>
          <w:sz w:val="26"/>
          <w:szCs w:val="26"/>
        </w:rPr>
        <w:t xml:space="preserve">4.3  Card de Diagnóstico com Cor Dinâmica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 título "Diagnóstico Vetorial Selecionado" passou a herdar a cor da classe TWI do ponto clicado. O card exibe a borda esquerda e o texto do título na cor correspondente à classe (CRÍTICO=#8B0000, ALTO=#FF4500, MODERADO=#FFD700, BAIXO=#1E90FF, MUITO_BAIXO=#ADD8E6), fornecendo feedback visual imediato.</w:t>
      </w:r>
    </w:p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4A6E"/>
          <w:sz w:val="26"/>
          <w:szCs w:val="26"/>
        </w:rPr>
        <w:t xml:space="preserve">4.4  Atualização de Labels e Nomenclatura Técnica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Todos os labels da interface foram revisados para nomenclatura técnica-operacional coerente com o domínio GIS: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 Anterior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 Atual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6070"/>
                <w:sz w:val="17"/>
                <w:szCs w:val="17"/>
              </w:rPr>
              <w:t xml:space="preserve">Topográfico (Padrão)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OSM · Topográfico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6070"/>
                <w:sz w:val="17"/>
                <w:szCs w:val="17"/>
              </w:rPr>
              <w:t xml:space="preserve">Destaque (Claro)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CartoDB · Positron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6070"/>
                <w:sz w:val="17"/>
                <w:szCs w:val="17"/>
              </w:rPr>
              <w:t xml:space="preserve">Alto Contraste (Escuro)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CartoDB · Dark Matter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6070"/>
                <w:sz w:val="17"/>
                <w:szCs w:val="17"/>
              </w:rPr>
              <w:t xml:space="preserve">Malha Vetorial (Bairros)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Malha Municipal — PE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6070"/>
                <w:sz w:val="17"/>
                <w:szCs w:val="17"/>
              </w:rPr>
              <w:t xml:space="preserve">Amostras TWI (Pontos)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Dataset TWI · Pontos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6070"/>
                <w:sz w:val="17"/>
                <w:szCs w:val="17"/>
              </w:rPr>
              <w:t xml:space="preserve">Ativar Mapa de Calor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Kernel Density · Heatmap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6070"/>
                <w:sz w:val="17"/>
                <w:szCs w:val="17"/>
              </w:rPr>
              <w:t xml:space="preserve">Hidrografia (Rios/Córregos)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Rede Hidrográfica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6070"/>
                <w:sz w:val="17"/>
                <w:szCs w:val="17"/>
              </w:rPr>
              <w:t xml:space="preserve">Eventos Históricos de Inundação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Registro de Eventos · SEPDEC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6070"/>
                <w:sz w:val="17"/>
                <w:szCs w:val="17"/>
              </w:rPr>
              <w:t xml:space="preserve">Agrupar Pontos (MarkerCluster)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MarkerCluster · Agrupamento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6070"/>
                <w:sz w:val="17"/>
                <w:szCs w:val="17"/>
              </w:rPr>
              <w:t xml:space="preserve">Unidade de Análise (Bairro)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Recorte Espacial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6070"/>
                <w:sz w:val="17"/>
                <w:szCs w:val="17"/>
              </w:rPr>
              <w:t xml:space="preserve">Filtrar por Severidade TWI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Limiar TWI Mínimo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6070"/>
                <w:sz w:val="17"/>
                <w:szCs w:val="17"/>
              </w:rPr>
              <w:t xml:space="preserve">Diagnóstico Individual de Amostra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Inspeção · Ponto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6070"/>
                <w:sz w:val="17"/>
                <w:szCs w:val="17"/>
              </w:rPr>
              <w:t xml:space="preserve">Exibir Fundamentação Teórica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Notação Geomorfométrica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6070"/>
                <w:sz w:val="17"/>
                <w:szCs w:val="17"/>
              </w:rPr>
              <w:t xml:space="preserve">Gerar Painel Estatístico Global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Dashboard Geoestatístico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6070"/>
                <w:sz w:val="17"/>
                <w:szCs w:val="17"/>
              </w:rPr>
              <w:t xml:space="preserve">Ranking de Risco por Bairro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Ranking IRA · Por Bairro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6070"/>
                <w:sz w:val="17"/>
                <w:szCs w:val="17"/>
              </w:rPr>
              <w:t xml:space="preserve">Exportar CSV Filtrado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Export · CSV Filtrado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E86C1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4A6E"/>
          <w:sz w:val="36"/>
          <w:szCs w:val="36"/>
        </w:rPr>
        <w:t xml:space="preserve">5. Correções de Bugs (Hotfixes)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5200"/>
        <w:gridCol w:w="1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A6070"/>
                <w:sz w:val="17"/>
                <w:szCs w:val="17"/>
              </w:rPr>
              <w:t xml:space="preserve">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A6E"/>
                <w:sz w:val="17"/>
                <w:szCs w:val="17"/>
              </w:rPr>
              <w:t xml:space="preserve">data_loader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CSV da Defesa Civil com decimal vírgula não convertido pelo pandas — valores numéricos lidos como string e fillna(0) aplicado erroneamente. Correção: .str.replace(",",".") antes de pd.to_numeric().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BUG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A6070"/>
                <w:sz w:val="17"/>
                <w:szCs w:val="17"/>
              </w:rPr>
              <w:t xml:space="preserve">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A6E"/>
                <w:sz w:val="17"/>
                <w:szCs w:val="17"/>
              </w:rPr>
              <w:t xml:space="preserve">map_engine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@st.cache_resource armazenava GeoJSON em memória de processo — reinício do Streamlit não limpava o cache. Substituído por @st.cache_data(ttl=3600).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BUG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A6070"/>
                <w:sz w:val="17"/>
                <w:szCs w:val="17"/>
              </w:rPr>
              <w:t xml:space="preserve">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A6E"/>
                <w:sz w:val="17"/>
                <w:szCs w:val="17"/>
              </w:rPr>
              <w:t xml:space="preserve">analytics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Scatter plot usava size="registros" mas coluna não existe no CSV consolidado da Defesa Civil. Substituído por coluna calculada _tamanho a partir de dh_total.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BUG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A6070"/>
                <w:sz w:val="17"/>
                <w:szCs w:val="17"/>
              </w:rPr>
              <w:t xml:space="preserve">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A6E"/>
                <w:sz w:val="17"/>
                <w:szCs w:val="17"/>
              </w:rPr>
              <w:t xml:space="preserve">map_engine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GeoJSON de bairros com coordenadas UTM (EPSG:31985) — polígonos renderizados fora do mapa. Reprojeção matemática UTM→WGS84 aplicada via script Python puro (sem pyproj).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BUG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A6070"/>
                <w:sz w:val="17"/>
                <w:szCs w:val="17"/>
              </w:rPr>
              <w:t xml:space="preserve">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A6E"/>
                <w:sz w:val="17"/>
                <w:szCs w:val="17"/>
              </w:rPr>
              <w:t xml:space="preserve">config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PATH_DEFESA_CIVIL apontava para subpasta "eventos" (PT) enquanto estrutura real usava "events" (EN). Padronizado para "events".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923A"/>
                <w:sz w:val="16"/>
                <w:szCs w:val="16"/>
              </w:rPr>
              <w:t xml:space="preserve">CONFIG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A6070"/>
                <w:sz w:val="17"/>
                <w:szCs w:val="17"/>
              </w:rPr>
              <w:t xml:space="preserve">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A6E"/>
                <w:sz w:val="17"/>
                <w:szCs w:val="17"/>
              </w:rPr>
              <w:t xml:space="preserve">app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Diagnóstico vetorial exibia subheader com cor padrão azul Streamlit, ignorando a classe TWI do ponto selecionado. Substituído por span HTML dinâmico com cor da classe.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F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76C2"/>
                <w:sz w:val="16"/>
                <w:szCs w:val="16"/>
              </w:rPr>
              <w:t xml:space="preserve">UX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E86C1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4A6E"/>
          <w:sz w:val="36"/>
          <w:szCs w:val="36"/>
        </w:rPr>
        <w:t xml:space="preserve">6. Roadmap — Próxima Versão (v2.9 / v3.0)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Iniciativa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6E"/>
                <w:sz w:val="17"/>
                <w:szCs w:val="17"/>
              </w:rPr>
              <w:t xml:space="preserve">Dados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Correlação estatística cruzada TWI × precipitação × eventos SEPDEC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6E"/>
                <w:sz w:val="17"/>
                <w:szCs w:val="17"/>
              </w:rPr>
              <w:t xml:space="preserve">Dados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Integração com API APAC em tempo real — precipitação acumulada 24h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6E"/>
                <w:sz w:val="17"/>
                <w:szCs w:val="17"/>
              </w:rPr>
              <w:t xml:space="preserve">Dados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Vulnerabilidade social: setores censitários IBGE (renda + densidade) × TWI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923A"/>
                <w:sz w:val="16"/>
                <w:szCs w:val="16"/>
              </w:rPr>
              <w:t xml:space="preserve">MÉDIA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6E"/>
                <w:sz w:val="17"/>
                <w:szCs w:val="17"/>
              </w:rPr>
              <w:t xml:space="preserve">Mapa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Camada de bairros expansível por município (PATH_BAIRROS — v2.9)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923A"/>
                <w:sz w:val="16"/>
                <w:szCs w:val="16"/>
              </w:rPr>
              <w:t xml:space="preserve">MÉDIA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6E"/>
                <w:sz w:val="17"/>
                <w:szCs w:val="17"/>
              </w:rPr>
              <w:t xml:space="preserve">Mapa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Modo comparativo: dois mapas lado a lado com filtros independentes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6070"/>
                <w:sz w:val="16"/>
                <w:szCs w:val="16"/>
              </w:rPr>
              <w:t xml:space="preserve">BAIXA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6E"/>
                <w:sz w:val="17"/>
                <w:szCs w:val="17"/>
              </w:rPr>
              <w:t xml:space="preserve">Arquitetura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Separação do data_loader em submódulos por domínio (geospatial / precipitacao / defesa_civil)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923A"/>
                <w:sz w:val="16"/>
                <w:szCs w:val="16"/>
              </w:rPr>
              <w:t xml:space="preserve">MÉDIA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6E"/>
                <w:sz w:val="17"/>
                <w:szCs w:val="17"/>
              </w:rPr>
              <w:t xml:space="preserve">Arquitetura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Persistência de session_state para não resetar configurações ao interagir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6E"/>
                <w:sz w:val="17"/>
                <w:szCs w:val="17"/>
              </w:rPr>
              <w:t xml:space="preserve">UI/UX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Responsividade mobile — layout wide quebra em telas &lt; 768px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923A"/>
                <w:sz w:val="16"/>
                <w:szCs w:val="16"/>
              </w:rPr>
              <w:t xml:space="preserve">MÉDIA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E86C1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4A6E"/>
          <w:sz w:val="36"/>
          <w:szCs w:val="36"/>
        </w:rPr>
        <w:t xml:space="preserve">7. Responsabilidade Técnica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6070"/>
                <w:sz w:val="18"/>
                <w:szCs w:val="18"/>
              </w:rPr>
              <w:t xml:space="preserve">Sistema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ASI — Atlas de Suscetibilidade a Inundações</w:t>
            </w:r>
          </w:p>
          <w:p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4A6070"/>
                <w:sz w:val="18"/>
                <w:szCs w:val="18"/>
              </w:rPr>
              <w:t xml:space="preserve">Versão documentada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2.8 — Release Final</w:t>
            </w:r>
          </w:p>
          <w:p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4A6070"/>
                <w:sz w:val="18"/>
                <w:szCs w:val="18"/>
              </w:rPr>
              <w:t xml:space="preserve">Plataforma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Streamlit + Folium + Python 3.x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4A6070"/>
                <w:sz w:val="18"/>
                <w:szCs w:val="18"/>
              </w:rPr>
              <w:t xml:space="preserve">Área de Aplicação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Cabo de Santo Agostinho — PE / Brasil</w:t>
            </w:r>
          </w:p>
          <w:p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4A6070"/>
                <w:sz w:val="18"/>
                <w:szCs w:val="18"/>
              </w:rPr>
              <w:t xml:space="preserve">Modelo Hidrogeomorfométrico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TWI — Topographic Wetness Index (EPSG:31985 → WGS84)</w:t>
            </w:r>
          </w:p>
          <w:p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4A6070"/>
                <w:sz w:val="18"/>
                <w:szCs w:val="18"/>
              </w:rPr>
              <w:t xml:space="preserve">Data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28 de fevereiro de 2026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DE6" w:sz="4" w:space="4"/>
      </w:pBdr>
      <w:jc w:val="right"/>
    </w:pPr>
    <w:r>
      <w:rPr>
        <w:rFonts w:ascii="Arial" w:cs="Arial" w:eastAsia="Arial" w:hAnsi="Arial"/>
        <w:color w:val="4A6070"/>
        <w:sz w:val="16"/>
        <w:szCs w:val="16"/>
      </w:rPr>
      <w:t xml:space="preserve">ASI SIGWeb  |  Documento Controlado  |  Pág. </w:t>
    </w:r>
    <w:r>
      <w:rPr>
        <w:rFonts w:ascii="Arial" w:cs="Arial" w:eastAsia="Arial" w:hAnsi="Arial"/>
        <w:color w:val="4A6070"/>
        <w:sz w:val="16"/>
        <w:szCs w:val="16"/>
      </w:rPr>
      <type>page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4"/>
      </w:pBdr>
    </w:pPr>
    <w:r>
      <w:rPr>
        <w:rFonts w:ascii="Arial" w:cs="Arial" w:eastAsia="Arial" w:hAnsi="Arial"/>
        <w:b/>
        <w:bCs/>
        <w:color w:val="1A4A6E"/>
        <w:sz w:val="18"/>
        <w:szCs w:val="18"/>
      </w:rPr>
      <w:t xml:space="preserve">ASI  </w:t>
    </w:r>
    <w:r>
      <w:rPr>
        <w:rFonts w:ascii="Arial" w:cs="Arial" w:eastAsia="Arial" w:hAnsi="Arial"/>
        <w:color w:val="4A6070"/>
        <w:sz w:val="18"/>
        <w:szCs w:val="18"/>
      </w:rPr>
      <w:t xml:space="preserve">|  Sistema de Análise de Suscetibilidade a Inundações  </w:t>
    </w:r>
    <w:r>
      <w:rPr>
        <w:rFonts w:ascii="Arial" w:cs="Arial" w:eastAsia="Arial" w:hAnsi="Arial"/>
        <w:color w:val="00B4D8"/>
        <w:sz w:val="18"/>
        <w:szCs w:val="18"/>
      </w:rPr>
      <w:t xml:space="preserve">|  CHANGELOG v2.8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4A6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A4A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2026-02-28T15:40:33.989Z</dcterms:created>
  <dcterms:modified xsi:type="dcterms:W3CDTF">2026-02-28T15:40:33.990Z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