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2F2F2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2927513</wp:posOffset>
            </wp:positionH>
            <wp:positionV relativeFrom="page">
              <wp:posOffset>314325</wp:posOffset>
            </wp:positionV>
            <wp:extent cx="1909763" cy="707814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707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Faustina" w:cs="Faustina" w:eastAsia="Faustina" w:hAnsi="Faustina"/>
          <w:b w:val="1"/>
          <w:bCs w:val="1"/>
          <w:color w:val="d71921"/>
          <w:sz w:val="96"/>
          <w:szCs w:val="96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96"/>
          <w:szCs w:val="96"/>
          <w:rtl w:val="0"/>
        </w:rPr>
        <w:t xml:space="preserve">Análise de Cobertura</w:t>
      </w:r>
    </w:p>
    <w:p w:rsidR="00000000" w:rsidDel="00000000" w:rsidP="00000000" w:rsidRDefault="00000000" w:rsidRPr="00000000" w14:paraId="0000000C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48"/>
          <w:szCs w:val="48"/>
          <w:rtl w:val="0"/>
        </w:rPr>
        <w:t xml:space="preserve">Procedimento Operacional Padrão</w:t>
      </w:r>
    </w:p>
    <w:p w:rsidR="00000000" w:rsidDel="00000000" w:rsidP="00000000" w:rsidRDefault="00000000" w:rsidRPr="00000000" w14:paraId="0000000D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1046325</wp:posOffset>
            </wp:positionH>
            <wp:positionV relativeFrom="paragraph">
              <wp:posOffset>180975</wp:posOffset>
            </wp:positionV>
            <wp:extent cx="3643112" cy="943857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112" cy="9438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4150248</wp:posOffset>
            </wp:positionH>
            <wp:positionV relativeFrom="page">
              <wp:posOffset>8078253</wp:posOffset>
            </wp:positionV>
            <wp:extent cx="3688827" cy="1699347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21298" l="0" r="0" t="32612"/>
                    <a:stretch>
                      <a:fillRect/>
                    </a:stretch>
                  </pic:blipFill>
                  <pic:spPr>
                    <a:xfrm>
                      <a:off x="0" y="0"/>
                      <a:ext cx="3688827" cy="1699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headerReference r:id="rId9" w:type="default"/>
          <w:headerReference r:id="rId10" w:type="first"/>
          <w:footerReference r:id="rId11" w:type="default"/>
          <w:footerReference r:id="rId12" w:type="first"/>
          <w:pgSz w:h="16834" w:w="11909" w:orient="portrait"/>
          <w:pgMar w:bottom="1440.0000000000002" w:top="1440.0000000000002" w:left="1440.0000000000002" w:right="1440.0000000000002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Sumário</w:t>
      </w:r>
    </w:p>
    <w:p w:rsidR="00000000" w:rsidDel="00000000" w:rsidP="00000000" w:rsidRDefault="00000000" w:rsidRPr="00000000" w14:paraId="0000001E">
      <w:pPr>
        <w:pStyle w:val="Heading1"/>
        <w:spacing w:after="0" w:before="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20"/>
          <w:szCs w:val="20"/>
        </w:rPr>
      </w:pPr>
      <w:bookmarkStart w:colFirst="0" w:colLast="0" w:name="_tmgrn949cxum" w:id="0"/>
      <w:bookmarkEnd w:id="0"/>
      <w:r w:rsidDel="00000000" w:rsidR="00000000" w:rsidRPr="00000000">
        <w:rPr>
          <w:rtl w:val="0"/>
        </w:rPr>
      </w:r>
    </w:p>
    <w:sdt>
      <w:sdtPr>
        <w:id w:val="5563679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20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Faustina" w:cs="Faustina" w:eastAsia="Faustina" w:hAnsi="Faustina"/>
              <w:i w:val="1"/>
              <w:iCs w:val="1"/>
              <w:sz w:val="26"/>
              <w:szCs w:val="26"/>
              <w:rtl w:val="0"/>
            </w:rPr>
            <w:t xml:space="preserve">Introdução</w:t>
            <w:tab/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200" w:line="240" w:lineRule="auto"/>
            <w:rPr>
              <w:b w:val="1"/>
              <w:bCs w:val="1"/>
            </w:rPr>
          </w:pPr>
          <w:r w:rsidDel="00000000" w:rsidR="00000000" w:rsidRPr="00000000">
            <w:rPr>
              <w:rFonts w:ascii="Faustina" w:cs="Faustina" w:eastAsia="Faustina" w:hAnsi="Faustina"/>
              <w:i w:val="1"/>
              <w:iCs w:val="1"/>
              <w:sz w:val="26"/>
              <w:szCs w:val="26"/>
              <w:rtl w:val="0"/>
            </w:rPr>
            <w:t xml:space="preserve">Controle de Revisões</w:t>
            <w:tab/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200" w:line="240" w:lineRule="auto"/>
            <w:rPr>
              <w:b w:val="1"/>
              <w:bCs w:val="1"/>
            </w:rPr>
          </w:pPr>
          <w:r w:rsidDel="00000000" w:rsidR="00000000" w:rsidRPr="00000000">
            <w:rPr>
              <w:rFonts w:ascii="Faustina" w:cs="Faustina" w:eastAsia="Faustina" w:hAnsi="Faustina"/>
              <w:i w:val="1"/>
              <w:iCs w:val="1"/>
              <w:sz w:val="26"/>
              <w:szCs w:val="26"/>
              <w:rtl w:val="0"/>
            </w:rPr>
            <w:t xml:space="preserve">Análise de Cobertura</w:t>
          </w:r>
          <w:r w:rsidDel="00000000" w:rsidR="00000000" w:rsidRPr="00000000">
            <w:rPr>
              <w:rFonts w:ascii="Faustina" w:cs="Faustina" w:eastAsia="Faustina" w:hAnsi="Faustina"/>
              <w:i w:val="1"/>
              <w:iCs w:val="1"/>
              <w:sz w:val="26"/>
              <w:szCs w:val="26"/>
              <w:rtl w:val="0"/>
            </w:rPr>
            <w:tab/>
            <w:t xml:space="preserve">5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pStyle w:val="Heading1"/>
        <w:spacing w:after="0" w:before="200" w:line="240" w:lineRule="auto"/>
        <w:rPr>
          <w:rFonts w:ascii="Inter Light" w:cs="Inter Light" w:eastAsia="Inter Light" w:hAnsi="Inter Light"/>
          <w:color w:val="014b88"/>
          <w:sz w:val="20"/>
          <w:szCs w:val="20"/>
        </w:rPr>
      </w:pPr>
      <w:bookmarkStart w:colFirst="0" w:colLast="0" w:name="_uhvs5h91ufb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100"/>
          <w:szCs w:val="100"/>
        </w:rPr>
      </w:pPr>
      <w:bookmarkStart w:colFirst="0" w:colLast="0" w:name="_4jwd015tqv4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100"/>
          <w:szCs w:val="100"/>
        </w:rPr>
      </w:pPr>
      <w:bookmarkStart w:colFirst="0" w:colLast="0" w:name="_6q4buccsw0v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Faustina" w:cs="Faustina" w:eastAsia="Faustina" w:hAnsi="Faustina"/>
          <w:sz w:val="28"/>
          <w:szCs w:val="28"/>
        </w:rPr>
        <w:sectPr>
          <w:headerReference r:id="rId13" w:type="default"/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fv1siw9td0b4" w:id="4"/>
      <w:bookmarkEnd w:id="4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Introdução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300" w:lineRule="auto"/>
        <w:ind w:right="-324.3307086614169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O processo de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Análise de Cobertura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 é o diagnóstico realizado antes de qualquer reposição de estoque. Sua lógica consiste em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comparar o saldo atual de produtos com a previsão de vendas 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para um determinado período. O objetivo central é garantir o equilíbrio: não permitir que falte mercadoria, nem que o capital da empresa fique parado em produtos com excesso de estoque.</w:t>
      </w:r>
    </w:p>
    <w:p w:rsidR="00000000" w:rsidDel="00000000" w:rsidP="00000000" w:rsidRDefault="00000000" w:rsidRPr="00000000" w14:paraId="00000037">
      <w:pPr>
        <w:widowControl w:val="0"/>
        <w:spacing w:line="300" w:lineRule="auto"/>
        <w:ind w:right="-324.3307086614169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O fluxo se inicia com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identificação dos fornecedores da semana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. A partir disso, define-se um "tempo de segurança" (cobertura desejada em dias), que serve como régua para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medir a saúde do estoque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. Ao cruzar esses dados, o processo permite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separar o que deve ser priorizado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 daquilo que pode ser ignorado no momento. Por fim, as quantidades são refinadas levando em conta as validades e exigências dos fornecedores, resultando em um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pedido de compra inteligente e estratégico.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-420524</wp:posOffset>
                </wp:positionH>
                <wp:positionV relativeFrom="paragraph">
                  <wp:posOffset>171450</wp:posOffset>
                </wp:positionV>
                <wp:extent cx="6571576" cy="415047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6575" y="2459250"/>
                          <a:ext cx="6571576" cy="415047"/>
                          <a:chOff x="66575" y="2459250"/>
                          <a:chExt cx="6791425" cy="4177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69050" y="2461716"/>
                            <a:ext cx="911400" cy="412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9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468999862670898"/>
                                  <w:vertAlign w:val="baseline"/>
                                </w:rPr>
                                <w:t xml:space="preserve">Identificação de Necessidades</w:t>
                              </w:r>
                            </w:p>
                          </w:txbxContent>
                        </wps:txbx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1244545" y="2461716"/>
                            <a:ext cx="911400" cy="412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9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468999862670898"/>
                                  <w:vertAlign w:val="baseline"/>
                                </w:rPr>
                                <w:t xml:space="preserve">Definição de Parâmetros (Dias de Cobertura)</w:t>
                              </w:r>
                            </w:p>
                          </w:txbxContent>
                        </wps:txbx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420041" y="2461716"/>
                            <a:ext cx="911400" cy="412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9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468999862670898"/>
                                  <w:vertAlign w:val="baseline"/>
                                </w:rPr>
                                <w:t xml:space="preserve">Filtragem de Itens (Falta x Excesso)</w:t>
                              </w:r>
                            </w:p>
                          </w:txbxContent>
                        </wps:txbx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80450" y="2668116"/>
                            <a:ext cx="264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155945" y="2668116"/>
                            <a:ext cx="264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595530" y="2461716"/>
                            <a:ext cx="911400" cy="412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9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468999862670898"/>
                                  <w:vertAlign w:val="baseline"/>
                                </w:rPr>
                                <w:t xml:space="preserve">Refino Técnico e Ajuste de Saldos</w:t>
                              </w:r>
                            </w:p>
                          </w:txbxContent>
                        </wps:txbx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31530" y="2668116"/>
                            <a:ext cx="264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771066" y="2461716"/>
                            <a:ext cx="911400" cy="412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9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468999862670898"/>
                                  <w:vertAlign w:val="baseline"/>
                                </w:rPr>
                                <w:t xml:space="preserve">Consolidação Final das quantidades</w:t>
                              </w:r>
                            </w:p>
                          </w:txbxContent>
                        </wps:txbx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507066" y="2668116"/>
                            <a:ext cx="264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5946555" y="2461716"/>
                            <a:ext cx="911400" cy="412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9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468999862670898"/>
                                  <w:vertAlign w:val="baseline"/>
                                </w:rPr>
                                <w:t xml:space="preserve">Pedido de Compra</w:t>
                              </w:r>
                            </w:p>
                          </w:txbxContent>
                        </wps:txbx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82555" y="2668116"/>
                            <a:ext cx="264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-420524</wp:posOffset>
                </wp:positionH>
                <wp:positionV relativeFrom="paragraph">
                  <wp:posOffset>171450</wp:posOffset>
                </wp:positionV>
                <wp:extent cx="6571576" cy="415047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1576" cy="4150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widowControl w:val="0"/>
        <w:spacing w:line="300" w:lineRule="auto"/>
        <w:ind w:right="-324.3307086614169"/>
        <w:jc w:val="center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widowControl w:val="0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j1lkgvhcerha" w:id="5"/>
      <w:bookmarkEnd w:id="5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Controle de Revisões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right="-45"/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28"/>
          <w:szCs w:val="28"/>
          <w:rtl w:val="0"/>
        </w:rPr>
        <w:t xml:space="preserve">Procedimento Operacional Padrão - Análise de Cobertura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440"/>
        <w:gridCol w:w="1095"/>
        <w:gridCol w:w="1950"/>
        <w:gridCol w:w="5055"/>
        <w:tblGridChange w:id="0">
          <w:tblGrid>
            <w:gridCol w:w="1440"/>
            <w:gridCol w:w="1095"/>
            <w:gridCol w:w="1950"/>
            <w:gridCol w:w="5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 da Revisão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27.840909090911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8409090909091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003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004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006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013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014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016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keepLines w:val="1"/>
        <w:widowControl w:val="0"/>
        <w:spacing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widowControl w:val="0"/>
        <w:spacing w:after="0"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0"/>
          <w:szCs w:val="40"/>
        </w:rPr>
      </w:pPr>
      <w:bookmarkStart w:colFirst="0" w:colLast="0" w:name="_r5assyrjwrw" w:id="6"/>
      <w:bookmarkEnd w:id="6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4"/>
          <w:szCs w:val="44"/>
          <w:rtl w:val="0"/>
        </w:rPr>
        <w:t xml:space="preserve">Análise de Cobertura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Lines w:val="1"/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Atores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Comprador Nacional</w:t>
      </w:r>
    </w:p>
    <w:p w:rsidR="00000000" w:rsidDel="00000000" w:rsidP="00000000" w:rsidRDefault="00000000" w:rsidRPr="00000000" w14:paraId="000000AC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Comprador Oriental</w:t>
      </w:r>
    </w:p>
    <w:p w:rsidR="00000000" w:rsidDel="00000000" w:rsidP="00000000" w:rsidRDefault="00000000" w:rsidRPr="00000000" w14:paraId="000000AD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Análise da urgência de compras de produtos baseados no giro de estoque e no calendário de fornecedores.</w:t>
      </w:r>
    </w:p>
    <w:p w:rsidR="00000000" w:rsidDel="00000000" w:rsidP="00000000" w:rsidRDefault="00000000" w:rsidRPr="00000000" w14:paraId="000000B0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b w:val="1"/>
          <w:bCs w:val="1"/>
          <w:color w:val="6f12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6f12f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sz w:val="20"/>
          <w:szCs w:val="20"/>
          <w:rtl w:val="0"/>
        </w:rPr>
        <w:t xml:space="preserve">Gatilho de Início: </w:t>
      </w:r>
      <w:r w:rsidDel="00000000" w:rsidR="00000000" w:rsidRPr="00000000">
        <w:rPr>
          <w:rFonts w:ascii="Inter" w:cs="Inter" w:eastAsia="Inter" w:hAnsi="Inter"/>
          <w:color w:val="d719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Chegada do dia de compra definido por calendário semanal preestabelecido.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6f12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b w:val="1"/>
          <w:bCs w:val="1"/>
          <w:i w:val="1"/>
          <w:iCs w:val="1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Comprador Nacional ou Comprador Oriental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Identificar os produtos necessários conforme o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calendário semanal do fornecedor, localizado em um quadro na parede da sala de comercial;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o sistema Lumi;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no menu "Compras";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na opção "Relatórios";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no item "Cobertura e Sugestão de Compra";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Marcar a caixa de seleção "Cobertura";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Digitar a quantidade de dias desejados para a duração do estoque, geralmente entre 15 e 20 dias;</w:t>
      </w:r>
    </w:p>
    <w:p w:rsidR="00000000" w:rsidDel="00000000" w:rsidP="00000000" w:rsidRDefault="00000000" w:rsidRPr="00000000" w14:paraId="000000BB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Observação: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Considerar sempre a data de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validade reduzida de laticínios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ao definir os dias de cobertura.</w:t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Escolher o parâmetro de referência entre "Maior" ou "Menor":</w:t>
      </w:r>
    </w:p>
    <w:p w:rsidR="00000000" w:rsidDel="00000000" w:rsidP="00000000" w:rsidRDefault="00000000" w:rsidRPr="00000000" w14:paraId="000000BD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so a opção selecionada seja "Maior"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:</w:t>
      </w:r>
    </w:p>
    <w:p w:rsidR="00000000" w:rsidDel="00000000" w:rsidP="00000000" w:rsidRDefault="00000000" w:rsidRPr="00000000" w14:paraId="000000BE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Localizar os produtos com excesso de cobertura;</w:t>
      </w:r>
    </w:p>
    <w:p w:rsidR="00000000" w:rsidDel="00000000" w:rsidP="00000000" w:rsidRDefault="00000000" w:rsidRPr="00000000" w14:paraId="000000BF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Despriorizar a compra dos produtos identificados com excesso de cobertura;</w:t>
      </w:r>
    </w:p>
    <w:p w:rsidR="00000000" w:rsidDel="00000000" w:rsidP="00000000" w:rsidRDefault="00000000" w:rsidRPr="00000000" w14:paraId="000000C0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aso a opção selecionada seja "Menor":</w:t>
      </w:r>
    </w:p>
    <w:p w:rsidR="00000000" w:rsidDel="00000000" w:rsidP="00000000" w:rsidRDefault="00000000" w:rsidRPr="00000000" w14:paraId="000000C1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Localizar os itens com estoque insuficiente </w:t>
      </w:r>
    </w:p>
    <w:p w:rsidR="00000000" w:rsidDel="00000000" w:rsidP="00000000" w:rsidRDefault="00000000" w:rsidRPr="00000000" w14:paraId="000000C2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Priorizar a compra dos produtos que necessitam de reposição mais urgente;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Analisar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 coluna de sugestão de compra gerada automaticamente pelo sistema;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Analisar manualmente a necessidade de itens na ausência de sugestão automática;</w:t>
      </w:r>
    </w:p>
    <w:p w:rsidR="00000000" w:rsidDel="00000000" w:rsidP="00000000" w:rsidRDefault="00000000" w:rsidRPr="00000000" w14:paraId="000000C5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Observação: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Analisar a quantidade de itens necessários baseado em relatórios de vendas, quantidade mínima de compra com fornecedores, etc;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Considerar a quantidade mínima de compra exigida pelos fornecedores;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Utilizar o número sugerido pelo sistema como base para o cálculo final;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om base nas análises concluídas, passar para o </w:t>
      </w:r>
      <w:hyperlink r:id="rId15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pedido de mercadorias.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before="200" w:line="300" w:lineRule="auto"/>
        <w:ind w:left="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color w:val="323232"/>
          <w:rtl w:val="0"/>
        </w:rPr>
        <w:t xml:space="preserve">Processo finalizado.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page">
              <wp:posOffset>2275050</wp:posOffset>
            </wp:positionH>
            <wp:positionV relativeFrom="page">
              <wp:posOffset>3898900</wp:posOffset>
            </wp:positionV>
            <wp:extent cx="3009900" cy="1762125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1629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762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brunnamoraes@grupogestao.co</w:t>
      </w:r>
    </w:p>
    <w:p w:rsidR="00000000" w:rsidDel="00000000" w:rsidP="00000000" w:rsidRDefault="00000000" w:rsidRPr="00000000" w14:paraId="000000DA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lucio@grupogestao.co</w:t>
      </w:r>
    </w:p>
    <w:p w:rsidR="00000000" w:rsidDel="00000000" w:rsidP="00000000" w:rsidRDefault="00000000" w:rsidRPr="00000000" w14:paraId="000000DB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luisadaher@grupogestao.co</w:t>
      </w:r>
    </w:p>
    <w:p w:rsidR="00000000" w:rsidDel="00000000" w:rsidP="00000000" w:rsidRDefault="00000000" w:rsidRPr="00000000" w14:paraId="000000DC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mariaeduardapassos@grupogestao.co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type w:val="nextPage"/>
      <w:pgSz w:h="16834" w:w="11909" w:orient="portrait"/>
      <w:pgMar w:bottom="1440.0000000000002" w:top="1440.0000000000002" w:left="1440.0000000000002" w:right="1440.00000000000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austin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ind w:left="-570" w:firstLine="0"/>
      <w:rPr>
        <w:rFonts w:ascii="Inter" w:cs="Inter" w:eastAsia="Inter" w:hAnsi="Inter"/>
        <w:sz w:val="4"/>
        <w:szCs w:val="4"/>
      </w:rPr>
    </w:pPr>
    <w:r w:rsidDel="00000000" w:rsidR="00000000" w:rsidRPr="00000000">
      <w:rPr>
        <w:rFonts w:ascii="Inter" w:cs="Inter" w:eastAsia="Inter" w:hAnsi="Inter"/>
        <w:sz w:val="12"/>
        <w:szCs w:val="1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  POP/ Mikami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3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Análise de Cobertura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Análise de Cobertura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425.19685039370086" w:hanging="283.464566929134"/>
      </w:pPr>
      <w:rPr>
        <w:rFonts w:ascii="Arial" w:cs="Arial" w:eastAsia="Arial" w:hAnsi="Arial"/>
        <w:b w:val="1"/>
        <w:bCs w:val="1"/>
        <w:color w:val="d71921"/>
        <w:u w:val="none"/>
      </w:rPr>
    </w:lvl>
    <w:lvl w:ilvl="1">
      <w:start w:val="1"/>
      <w:numFmt w:val="lowerLetter"/>
      <w:lvlText w:val="%2."/>
      <w:lvlJc w:val="right"/>
      <w:pPr>
        <w:ind w:left="992.1259842519685" w:hanging="283.46456692913375"/>
      </w:pPr>
      <w:rPr>
        <w:rFonts w:ascii="Arial" w:cs="Arial" w:eastAsia="Arial" w:hAnsi="Arial"/>
        <w:b w:val="1"/>
        <w:bCs w:val="1"/>
        <w:color w:val="d71921"/>
        <w:u w:val="none"/>
      </w:rPr>
    </w:lvl>
    <w:lvl w:ilvl="2">
      <w:start w:val="1"/>
      <w:numFmt w:val="lowerRoman"/>
      <w:lvlText w:val="%3."/>
      <w:lvlJc w:val="right"/>
      <w:pPr>
        <w:ind w:left="1984.251968503937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13" Type="http://schemas.openxmlformats.org/officeDocument/2006/relationships/header" Target="head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yperlink" Target="https://docs.google.com/document/d/1_BZhtEfUpKnZI0nK3Mfjg6aWczmptex7yrmPoYpJNrk/edit?usp=drive_link" TargetMode="External"/><Relationship Id="rId14" Type="http://schemas.openxmlformats.org/officeDocument/2006/relationships/image" Target="media/image5.png"/><Relationship Id="rId17" Type="http://schemas.openxmlformats.org/officeDocument/2006/relationships/header" Target="header4.xm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footer" Target="footer3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austina-regular.ttf"/><Relationship Id="rId2" Type="http://schemas.openxmlformats.org/officeDocument/2006/relationships/font" Target="fonts/Faustina-bold.ttf"/><Relationship Id="rId3" Type="http://schemas.openxmlformats.org/officeDocument/2006/relationships/font" Target="fonts/Faustina-italic.ttf"/><Relationship Id="rId4" Type="http://schemas.openxmlformats.org/officeDocument/2006/relationships/font" Target="fonts/Faustina-boldItalic.ttf"/><Relationship Id="rId11" Type="http://schemas.openxmlformats.org/officeDocument/2006/relationships/font" Target="fonts/Inter-italic.ttf"/><Relationship Id="rId10" Type="http://schemas.openxmlformats.org/officeDocument/2006/relationships/font" Target="fonts/Inter-bold.ttf"/><Relationship Id="rId12" Type="http://schemas.openxmlformats.org/officeDocument/2006/relationships/font" Target="fonts/Inter-boldItalic.ttf"/><Relationship Id="rId9" Type="http://schemas.openxmlformats.org/officeDocument/2006/relationships/font" Target="fonts/Inter-regular.ttf"/><Relationship Id="rId5" Type="http://schemas.openxmlformats.org/officeDocument/2006/relationships/font" Target="fonts/InterLight-regular.ttf"/><Relationship Id="rId6" Type="http://schemas.openxmlformats.org/officeDocument/2006/relationships/font" Target="fonts/InterLight-bold.ttf"/><Relationship Id="rId7" Type="http://schemas.openxmlformats.org/officeDocument/2006/relationships/font" Target="fonts/InterLight-italic.ttf"/><Relationship Id="rId8" Type="http://schemas.openxmlformats.org/officeDocument/2006/relationships/font" Target="fonts/Inter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