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Style</w:t>
      </w:r>
    </w:p>
    <w:p>
      <w:pPr>
        <w:pStyle w:val="Author"/>
      </w:pPr>
      <w:r>
        <w:t xml:space="preserve">Xiaochi</w:t>
      </w:r>
    </w:p>
    <w:p>
      <w:pPr>
        <w:pStyle w:val="Date"/>
      </w:pPr>
      <w:r>
        <w:t xml:space="preserve">09/01/2020</w:t>
      </w:r>
    </w:p>
    <w:p>
      <w:pPr>
        <w:pStyle w:val="Heading2"/>
      </w:pPr>
      <w:bookmarkStart w:id="20" w:name="heading-2"/>
      <w:r>
        <w:t xml:space="preserve">Heading 2</w:t>
      </w:r>
      <w:bookmarkEnd w:id="20"/>
    </w:p>
    <w:p>
      <w:pPr>
        <w:pStyle w:val="Heading3"/>
      </w:pPr>
      <w:bookmarkStart w:id="21" w:name="heading-3"/>
      <w:r>
        <w:t xml:space="preserve">Heading 3</w:t>
      </w:r>
      <w:bookmarkEnd w:id="21"/>
    </w:p>
    <w:p>
      <w:pPr>
        <w:pStyle w:val="Heading4"/>
      </w:pPr>
      <w:bookmarkStart w:id="22" w:name="heading-4"/>
      <w:r>
        <w:t xml:space="preserve">Heading 4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sty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6" w:name="make-a-table"/>
      <w:r>
        <w:t xml:space="preserve">Make a table</w:t>
      </w:r>
      <w:bookmarkEnd w:id="26"/>
    </w:p>
    <w:p>
      <w:pPr>
        <w:pStyle w:val="FirstParagraph"/>
      </w:pPr>
      <w:r>
        <w:t xml:space="preserve">Create a subset of the mtcars data</w:t>
      </w:r>
      <w:r>
        <w:t xml:space="preserve"> </w:t>
      </w:r>
      <w:r>
        <w:t xml:space="preserve">(Kristensen &amp; Taylor, 2016)</w:t>
      </w:r>
      <w:r>
        <w:t xml:space="preserve">.</w:t>
      </w:r>
    </w:p>
    <w:p>
      <w:pPr>
        <w:pStyle w:val="BodyText"/>
      </w:pPr>
      <w:r>
        <w:t xml:space="preserve">Kristensen et al. (2015)</w:t>
      </w:r>
      <w:r>
        <w:t xml:space="preserve"> </w:t>
      </w:r>
      <w:r>
        <w:t xml:space="preserve">says blah</w:t>
      </w:r>
      <w:r>
        <w:t xml:space="preserve"> </w:t>
      </w:r>
      <w:r>
        <w:t xml:space="preserve">(2015)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make_model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2320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2200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1935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1615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1513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3150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3190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2140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1835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2465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2780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(df)</w:t>
      </w:r>
    </w:p>
    <w:tbl>
      <w:tblPr>
        <w:tblStyle w:val="Table"/>
        <w:tblW w:type="pct" w:w="2222.222222222222"/>
        <w:tblLook w:firstRow="1"/>
      </w:tblPr>
      <w:tblGrid>
        <w:gridCol w:w="1870"/>
        <w:gridCol w:w="77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make_model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2,320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2,200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1,935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1,615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1,513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3,150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3,190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2,140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1,835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2,465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2,780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ggplot2 in publications, please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H. Wickham. ggplot2: Elegant Graphics for Data Analysis.</w:t>
      </w:r>
      <w:r>
        <w:br w:type="textWrapping"/>
      </w:r>
      <w:r>
        <w:rPr>
          <w:rStyle w:val="VerbatimChar"/>
        </w:rPr>
        <w:t xml:space="preserve">##   Springer-Verlag New York, 2016.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@Book{,</w:t>
      </w:r>
      <w:r>
        <w:br w:type="textWrapping"/>
      </w:r>
      <w:r>
        <w:rPr>
          <w:rStyle w:val="VerbatimChar"/>
        </w:rPr>
        <w:t xml:space="preserve">##     author = {Hadley Wickham},</w:t>
      </w:r>
      <w:r>
        <w:br w:type="textWrapping"/>
      </w:r>
      <w:r>
        <w:rPr>
          <w:rStyle w:val="VerbatimChar"/>
        </w:rPr>
        <w:t xml:space="preserve">##     title = {ggplot2: Elegant Graphics for Data Analysis},</w:t>
      </w:r>
      <w:r>
        <w:br w:type="textWrapping"/>
      </w:r>
      <w:r>
        <w:rPr>
          <w:rStyle w:val="VerbatimChar"/>
        </w:rPr>
        <w:t xml:space="preserve">##     publisher = {Springer-Verlag New York},</w:t>
      </w:r>
      <w:r>
        <w:br w:type="textWrapping"/>
      </w:r>
      <w:r>
        <w:rPr>
          <w:rStyle w:val="VerbatimChar"/>
        </w:rPr>
        <w:t xml:space="preserve">##     year = {2016},</w:t>
      </w:r>
      <w:r>
        <w:br w:type="textWrapping"/>
      </w:r>
      <w:r>
        <w:rPr>
          <w:rStyle w:val="VerbatimChar"/>
        </w:rPr>
        <w:t xml:space="preserve">##     isbn = {978-3-319-24277-4},</w:t>
      </w:r>
      <w:r>
        <w:br w:type="textWrapping"/>
      </w:r>
      <w:r>
        <w:rPr>
          <w:rStyle w:val="VerbatimChar"/>
        </w:rPr>
        <w:t xml:space="preserve">##     url = {https://ggplot2.tidyverse.org},</w:t>
      </w:r>
      <w:r>
        <w:br w:type="textWrapping"/>
      </w:r>
      <w:r>
        <w:rPr>
          <w:rStyle w:val="VerbatimChar"/>
        </w:rPr>
        <w:t xml:space="preserve">##   }</w:t>
      </w:r>
    </w:p>
    <w:p>
      <w:pPr>
        <w:pStyle w:val="Heading2"/>
      </w:pPr>
      <w:bookmarkStart w:id="27" w:name="references"/>
      <w:r>
        <w:t xml:space="preserve">References</w:t>
      </w:r>
      <w:bookmarkEnd w:id="27"/>
    </w:p>
    <w:bookmarkStart w:id="32" w:name="refs"/>
    <w:bookmarkStart w:id="29" w:name="ref-Kristensen2016"/>
    <w:p>
      <w:pPr>
        <w:pStyle w:val="Bibliography"/>
      </w:pPr>
      <w:r>
        <w:t xml:space="preserve">Kristensen, L. J., &amp; Taylor, M. P. (2016). Unravelling a ‘miner’s myth’ that environmental contamination in mining towns is naturally occurring.</w:t>
      </w:r>
      <w:r>
        <w:t xml:space="preserve"> </w:t>
      </w:r>
      <w:r>
        <w:rPr>
          <w:i/>
        </w:rPr>
        <w:t xml:space="preserve">Environmental Geochemistry and Health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(4), 1015–1027.</w:t>
      </w:r>
      <w:r>
        <w:t xml:space="preserve"> </w:t>
      </w:r>
      <w:hyperlink r:id="rId28">
        <w:r>
          <w:rPr>
            <w:rStyle w:val="Hyperlink"/>
          </w:rPr>
          <w:t xml:space="preserve">https://doi.org/10.1007/s10653-016-9804-6</w:t>
        </w:r>
      </w:hyperlink>
    </w:p>
    <w:bookmarkEnd w:id="29"/>
    <w:bookmarkStart w:id="31" w:name="ref-Kristensen2015"/>
    <w:p>
      <w:pPr>
        <w:pStyle w:val="Bibliography"/>
      </w:pPr>
      <w:r>
        <w:t xml:space="preserve">Kristensen, L. J., Taylor, M. P., &amp; Morrison, A. L. (2015). Lead and zinc dust depositions from ore trains characterised using lead isotopic compositions.</w:t>
      </w:r>
      <w:r>
        <w:t xml:space="preserve"> </w:t>
      </w:r>
      <w:r>
        <w:rPr>
          <w:i/>
        </w:rPr>
        <w:t xml:space="preserve">Environmental Sciences: Processes and Impacts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(3), 631–637.</w:t>
      </w:r>
      <w:r>
        <w:t xml:space="preserve"> </w:t>
      </w:r>
      <w:hyperlink r:id="rId30">
        <w:r>
          <w:rPr>
            <w:rStyle w:val="Hyperlink"/>
          </w:rPr>
          <w:t xml:space="preserve">https://doi.org/10.1039/c4em00572d</w:t>
        </w:r>
      </w:hyperlink>
    </w:p>
    <w:bookmarkEnd w:id="31"/>
    <w:bookmarkEnd w:id="32"/>
    <w:sectPr w:rsidR="00322A72" w:rsidSect="00F925BF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4606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6A98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C4B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64C9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BADD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4AB6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9C1A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A443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3E4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6BD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19689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842AA2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1"/>
  </w:num>
  <w:num w:numId="14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B07DC"/>
    <w:pPr>
      <w:keepNext/>
      <w:keepLines/>
      <w:spacing w:before="200" w:after="0" w:line="360" w:lineRule="auto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406F0"/>
    <w:pPr>
      <w:keepNext/>
      <w:keepLines/>
      <w:spacing w:before="200" w:after="0" w:line="360" w:lineRule="auto"/>
      <w:outlineLvl w:val="2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406F0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07DC"/>
    <w:pPr>
      <w:spacing w:before="180" w:after="180" w:line="360" w:lineRule="auto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9B07D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B07DC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B07D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8" Target="https://doi.org/10.1007/s10653-016-9804-6" TargetMode="External" /><Relationship Type="http://schemas.openxmlformats.org/officeDocument/2006/relationships/hyperlink" Id="rId30" Target="https://doi.org/10.1039/c4em00572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8" Target="https://doi.org/10.1007/s10653-016-9804-6" TargetMode="External" /><Relationship Type="http://schemas.openxmlformats.org/officeDocument/2006/relationships/hyperlink" Id="rId30" Target="https://doi.org/10.1039/c4em00572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Style</dc:title>
  <dc:creator>Xiaochi</dc:creator>
  <cp:keywords/>
  <dcterms:created xsi:type="dcterms:W3CDTF">2020-01-15T08:26:57Z</dcterms:created>
  <dcterms:modified xsi:type="dcterms:W3CDTF">2020-01-15T08:26:57Z</dcterms:modified>
</cp:coreProperties>
</file>